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customizations.xml" ContentType="application/vnd.ms-word.keyMapCustomization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ettings.xml" ContentType="application/vnd.openxmlformats-officedocument.wordprocessingml.settings+xml"/>
  <Override PartName="/word/styles.xml" ContentType="application/vnd.openxmlformats-officedocument.wordprocessingml.styles+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215" w:rsidRDefault="00776556" w:rsidP="007B6215">
      <w:pPr>
        <w:pStyle w:val="BodyText"/>
        <w:jc w:val="center"/>
        <w:rPr>
          <w:b/>
        </w:rPr>
      </w:pPr>
      <w:r>
        <w:rPr>
          <w:b/>
        </w:rPr>
        <w:t>Information S</w:t>
      </w:r>
      <w:r w:rsidR="0053355B">
        <w:rPr>
          <w:b/>
        </w:rPr>
        <w:t>tatement</w:t>
      </w:r>
      <w:r w:rsidR="006A5F82">
        <w:rPr>
          <w:b/>
        </w:rPr>
        <w:t xml:space="preserve"> </w:t>
      </w:r>
      <w:r w:rsidR="00E50C3E">
        <w:rPr>
          <w:b/>
        </w:rPr>
        <w:t xml:space="preserve">in accordance with Article 15 of the </w:t>
      </w:r>
      <w:r w:rsidR="00686D89">
        <w:rPr>
          <w:b/>
        </w:rPr>
        <w:t xml:space="preserve">UK </w:t>
      </w:r>
      <w:r w:rsidR="00E50C3E">
        <w:rPr>
          <w:b/>
        </w:rPr>
        <w:t>Securities Financing Transactions Regulation</w:t>
      </w:r>
    </w:p>
    <w:p w:rsidR="00961659" w:rsidRDefault="006A4E90" w:rsidP="007B6215">
      <w:pPr>
        <w:pStyle w:val="BodyText"/>
        <w:jc w:val="center"/>
        <w:rPr>
          <w:b/>
        </w:rPr>
      </w:pPr>
      <w:r>
        <w:rPr>
          <w:b/>
        </w:rPr>
        <w:t>May 2021</w:t>
      </w:r>
    </w:p>
    <w:p w:rsidR="00363207" w:rsidRDefault="005A7D0C" w:rsidP="007B6215">
      <w:pPr>
        <w:pStyle w:val="BodyText"/>
        <w:jc w:val="center"/>
        <w:rPr>
          <w:b/>
        </w:rPr>
      </w:pPr>
      <w:r>
        <w:rPr>
          <w:b/>
          <w:noProof/>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140335</wp:posOffset>
                </wp:positionV>
                <wp:extent cx="6162675" cy="364807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648075"/>
                        </a:xfrm>
                        <a:prstGeom prst="rect">
                          <a:avLst/>
                        </a:prstGeom>
                        <a:solidFill>
                          <a:srgbClr val="FFFFFF"/>
                        </a:solidFill>
                        <a:ln w="9525">
                          <a:solidFill>
                            <a:srgbClr val="000000"/>
                          </a:solidFill>
                          <a:miter lim="800000"/>
                          <a:headEnd/>
                          <a:tailEnd/>
                        </a:ln>
                      </wps:spPr>
                      <wps:txbx>
                        <w:txbxContent>
                          <w:p w:rsidR="00363207" w:rsidRPr="00363207" w:rsidRDefault="00363207" w:rsidP="00363207">
                            <w:pPr>
                              <w:rPr>
                                <w:rFonts w:cs="Times New Roman"/>
                                <w:b/>
                                <w:bCs/>
                                <w:i/>
                                <w:iCs/>
                                <w:sz w:val="20"/>
                                <w:szCs w:val="20"/>
                                <w:u w:val="single"/>
                              </w:rPr>
                            </w:pPr>
                            <w:r w:rsidRPr="00363207">
                              <w:rPr>
                                <w:rFonts w:cs="Times New Roman"/>
                                <w:b/>
                                <w:sz w:val="20"/>
                                <w:szCs w:val="20"/>
                              </w:rPr>
                              <w:t>This Information Statement is provided for information purposes only and does not amend or supersede the express terms of any Transaction, Collateral Arrangement or any rights or obligations you may have under applicable law, create any rights or obligations, or otherwise affect your or our liabilities and obligations.</w:t>
                            </w:r>
                          </w:p>
                          <w:p w:rsidR="00363207" w:rsidRPr="00363207" w:rsidRDefault="00363207" w:rsidP="00363207">
                            <w:pPr>
                              <w:rPr>
                                <w:rFonts w:cs="Times New Roman"/>
                                <w:b/>
                                <w:sz w:val="20"/>
                                <w:szCs w:val="20"/>
                              </w:rPr>
                            </w:pPr>
                            <w:r w:rsidRPr="00363207">
                              <w:rPr>
                                <w:rFonts w:cs="Times New Roman"/>
                                <w:b/>
                                <w:sz w:val="20"/>
                                <w:szCs w:val="20"/>
                              </w:rPr>
                              <w:t>The Information Statement with Appendices 1 and 2 has been prepared by the International Swaps and Derivatives Association, Inc., the Association for Financial Markets in Europe, the Futures Industry Association, Inc., the International Capital Market Association and the International Securities Lending Association. Appendix 3 by the International Swaps and Derivatives Association, Inc., the Association for Financial Markets in Europe, the Futures Industry Association, Inc. and SIFMA.</w:t>
                            </w:r>
                          </w:p>
                          <w:p w:rsidR="00363207" w:rsidRPr="00363207" w:rsidRDefault="00363207" w:rsidP="00363207">
                            <w:pPr>
                              <w:rPr>
                                <w:rFonts w:cs="Times New Roman"/>
                                <w:b/>
                                <w:sz w:val="20"/>
                                <w:szCs w:val="20"/>
                              </w:rPr>
                            </w:pPr>
                            <w:r w:rsidRPr="00363207">
                              <w:rPr>
                                <w:rFonts w:cs="Times New Roman"/>
                                <w:b/>
                                <w:sz w:val="20"/>
                                <w:szCs w:val="20"/>
                              </w:rPr>
                              <w:t>The information Statement with all its Appendices has been drafted in English language and can be used by member firms of any trade association referred to above and amended by such firms, including removing the trade association logos, as long as the following copyright notice remains unchanged and is included in a version that member firms send to their clients</w:t>
                            </w:r>
                            <w:r w:rsidR="0002717C">
                              <w:rPr>
                                <w:rFonts w:cs="Times New Roman"/>
                                <w:b/>
                                <w:sz w:val="20"/>
                                <w:szCs w:val="20"/>
                              </w:rPr>
                              <w:t>.</w:t>
                            </w:r>
                          </w:p>
                          <w:p w:rsidR="00363207" w:rsidRPr="00363207" w:rsidRDefault="00363207" w:rsidP="00363207">
                            <w:pPr>
                              <w:rPr>
                                <w:rFonts w:cs="Times New Roman"/>
                                <w:b/>
                                <w:sz w:val="20"/>
                                <w:szCs w:val="20"/>
                              </w:rPr>
                            </w:pPr>
                            <w:r w:rsidRPr="00363207">
                              <w:rPr>
                                <w:rFonts w:cs="Times New Roman"/>
                                <w:b/>
                                <w:sz w:val="20"/>
                                <w:szCs w:val="20"/>
                              </w:rPr>
                              <w:t>In case of translation of the Information Statement and its Appendices in other languages and in the event of any inconsistencies between the English version and the translated version, the English version shall always prevail and the International Swaps and Derivatives Association, Inc., the Association for Financial Markets in Europe, the Futures Industry Association, Inc., the International Capital Market Association and the International Securities Lending Association and SIFMA do not accept any liability for any translation made.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type id="_x0000_t202" coordsize="21600,21600" o:spt="202" path="m,l,21600r21600,l21600,xe">
                <v:stroke joinstyle="miter"/>
                <v:path gradientshapeok="t" o:connecttype="rect"/>
              </v:shapetype>
              <v:shape id="Text Box 2" o:spid="_x0000_s1026" type="#_x0000_t202" style="position:absolute;left:0;text-align:left;margin-left:-12pt;margin-top:11.05pt;width:485.25pt;height:28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o+YUKwIAAFEEAAAOAAAAZHJzL2Uyb0RvYy54bWysVNtu2zAMfR+wfxD0vtjxkjQ14hRdugwD ugvQ7gNkWY6FSaImKbG7rx8lp6mx7WmYHwRRpI4OD0lvbgatyEk4L8FUdD7LKRGGQyPNoaLfHvdv 1pT4wEzDFBhR0Sfh6c329atNb0tRQAeqEY4giPFlbyvahWDLLPO8E5r5GVhh0NmC0yyg6Q5Z41iP 6FplRZ6vsh5cYx1w4T2e3o1Ouk34bSt4+NK2XgSiKorcQlpdWuu4ZtsNKw+O2U7yMw32Dyw0kwYf vUDdscDI0ck/oLTkDjy0YcZBZ9C2kouUA2Yzz3/L5qFjVqRcUBxvLzL5/wfLP5++OiIbrB0lhmks 0aMYAnkHAymiOr31JQY9WAwLAx7HyJipt/fAv3tiYNcxcxC3zkHfCdYgu3m8mU2ujjg+gtT9J2jw GXYMkICG1ukIiGIQRMcqPV0qE6lwPFzNV8XqakkJR9/b1WKdoxHfYOXzdet8+CBAk7ipqMPSJ3h2 uvdhDH0OSfRByWYvlUqGO9Q75ciJYZvs03dG99MwZUhf0etlsRwVmPr8FCJP398gtAzY70rqiq4v QayMur03DdJkZWBSjXvMTpmzkFG7UcUw1AMGRnVraJ5QUgdjX+Mc4qYD95OSHnu6ov7HkTlBifpo sCzX88UiDkEyFsurAg039dRTDzMcoSoaKBm3uzAOztE6eejwpbERDNxiKVuZRH5hdeaNfZvKdJ6x OBhTO0W9/Am2vwAAAP//AwBQSwMEFAAGAAgAAAAhAG3lQcbhAAAACgEAAA8AAABkcnMvZG93bnJl di54bWxMj8FOwzAQRO9I/IO1SFxQ6zSkpgnZVAgJRG/QVnB1YzeJiNfBdtPw95gTHEczmnlTrifT s1E731lCWMwTYJpqqzpqEPa7p9kKmA+SlOwtaYRv7WFdXV6UslD2TG963IaGxRLyhURoQxgKzn3d aiP93A6aone0zsgQpWu4cvIcy03P0yQR3MiO4kIrB/3Y6vpzezIIq+xl/PCb29f3Whz7PNzcjc9f DvH6anq4Bxb0FP7C8Isf0aGKTAd7IuVZjzBLs/glIKTpAlgM5JlYAjsgLHMhgFcl/3+h+gEAAP// AwBQSwECLQAUAAYACAAAACEAtoM4kv4AAADhAQAAEwAAAAAAAAAAAAAAAAAAAAAAW0NvbnRlbnRf VHlwZXNdLnhtbFBLAQItABQABgAIAAAAIQA4/SH/1gAAAJQBAAALAAAAAAAAAAAAAAAAAC8BAABf cmVscy8ucmVsc1BLAQItABQABgAIAAAAIQBvo+YUKwIAAFEEAAAOAAAAAAAAAAAAAAAAAC4CAABk cnMvZTJvRG9jLnhtbFBLAQItABQABgAIAAAAIQBt5UHG4QAAAAoBAAAPAAAAAAAAAAAAAAAAAIUE AABkcnMvZG93bnJldi54bWxQSwUGAAAAAAQABADzAAAAkwUAAAAA ">
                <v:textbox>
                  <w:txbxContent>
                    <w:p w:rsidR="00363207" w:rsidRPr="00363207" w:rsidRDefault="00363207" w:rsidP="00363207">
                      <w:pPr>
                        <w:rPr>
                          <w:rFonts w:cs="Times New Roman"/>
                          <w:b/>
                          <w:bCs/>
                          <w:i/>
                          <w:iCs/>
                          <w:sz w:val="20"/>
                          <w:szCs w:val="20"/>
                          <w:u w:val="single"/>
                        </w:rPr>
                      </w:pPr>
                      <w:r w:rsidRPr="00363207">
                        <w:rPr>
                          <w:rFonts w:cs="Times New Roman"/>
                          <w:b/>
                          <w:sz w:val="20"/>
                          <w:szCs w:val="20"/>
                        </w:rPr>
                        <w:t>This Information Statement is provided for information purposes only and does not amend or supersede the express terms of any Transaction, Collateral Arrangement or any rights or obligations you may have under applicable law, create any rights or obligations, or otherwise affect your or our liabilities and obligations.</w:t>
                      </w:r>
                    </w:p>
                    <w:p w:rsidR="00363207" w:rsidRPr="00363207" w:rsidRDefault="00363207" w:rsidP="00363207">
                      <w:pPr>
                        <w:rPr>
                          <w:rFonts w:cs="Times New Roman"/>
                          <w:b/>
                          <w:sz w:val="20"/>
                          <w:szCs w:val="20"/>
                        </w:rPr>
                      </w:pPr>
                      <w:r w:rsidRPr="00363207">
                        <w:rPr>
                          <w:rFonts w:cs="Times New Roman"/>
                          <w:b/>
                          <w:sz w:val="20"/>
                          <w:szCs w:val="20"/>
                        </w:rPr>
                        <w:t>The Information Statement with Appendices 1 and 2 has been prepared by the International Swaps and Derivatives Association, Inc., the Association for Financial Markets in Europe, the Futures Industry Association, Inc., the International Capital Market Association and the International Securities Lending Association. Appendix 3 by the International Swaps and Derivatives Association, Inc., the Association for Financial Markets in Europe, the Futures Industry Association, Inc. and SIFMA.</w:t>
                      </w:r>
                    </w:p>
                    <w:p w:rsidR="00363207" w:rsidRPr="00363207" w:rsidRDefault="00363207" w:rsidP="00363207">
                      <w:pPr>
                        <w:rPr>
                          <w:rFonts w:cs="Times New Roman"/>
                          <w:b/>
                          <w:sz w:val="20"/>
                          <w:szCs w:val="20"/>
                        </w:rPr>
                      </w:pPr>
                      <w:r w:rsidRPr="00363207">
                        <w:rPr>
                          <w:rFonts w:cs="Times New Roman"/>
                          <w:b/>
                          <w:sz w:val="20"/>
                          <w:szCs w:val="20"/>
                        </w:rPr>
                        <w:t>The information Statement with all its Appendices has been drafted in English language and can be used by member firms of any trade association referred to above and amended by such firms, including removing the trade association logos, as long as the following copyright notice remains unchanged and is included in a version that member firms send to their clients</w:t>
                      </w:r>
                      <w:r w:rsidR="0002717C">
                        <w:rPr>
                          <w:rFonts w:cs="Times New Roman"/>
                          <w:b/>
                          <w:sz w:val="20"/>
                          <w:szCs w:val="20"/>
                        </w:rPr>
                        <w:t>.</w:t>
                      </w:r>
                    </w:p>
                    <w:p w:rsidR="00363207" w:rsidRPr="00363207" w:rsidRDefault="00363207" w:rsidP="00363207">
                      <w:pPr>
                        <w:rPr>
                          <w:rFonts w:cs="Times New Roman"/>
                          <w:b/>
                          <w:sz w:val="20"/>
                          <w:szCs w:val="20"/>
                        </w:rPr>
                      </w:pPr>
                      <w:r w:rsidRPr="00363207">
                        <w:rPr>
                          <w:rFonts w:cs="Times New Roman"/>
                          <w:b/>
                          <w:sz w:val="20"/>
                          <w:szCs w:val="20"/>
                        </w:rPr>
                        <w:t>In case of translation of the Information Statement and its Appendices in other languages and in the event of any inconsistencies between the English version and the translated version, the English version shall always prevail and the International Swaps and Derivatives Association, Inc., the Association for Financial Markets in Europe, the Futures Industry Association, Inc., the International Capital Market Association and the International Securities Lending Association and SIFMA do not accept any liability for any translation made.</w:t>
                      </w:r>
                    </w:p>
                  </w:txbxContent>
                </v:textbox>
              </v:shape>
            </w:pict>
          </mc:Fallback>
        </mc:AlternateContent>
      </w:r>
    </w:p>
    <w:p w:rsidR="00363207" w:rsidRDefault="00363207" w:rsidP="007B6215">
      <w:pPr>
        <w:pStyle w:val="BodyText"/>
        <w:jc w:val="center"/>
        <w:rPr>
          <w:b/>
        </w:rPr>
      </w:pPr>
    </w:p>
    <w:p w:rsidR="00363207" w:rsidRDefault="00363207" w:rsidP="007B6215">
      <w:pPr>
        <w:pStyle w:val="BodyText"/>
        <w:jc w:val="center"/>
        <w:rPr>
          <w:b/>
        </w:rPr>
      </w:pPr>
    </w:p>
    <w:p w:rsidR="00363207" w:rsidRDefault="00363207" w:rsidP="007B6215">
      <w:pPr>
        <w:pStyle w:val="BodyText"/>
        <w:jc w:val="center"/>
        <w:rPr>
          <w:b/>
        </w:rPr>
      </w:pPr>
    </w:p>
    <w:p w:rsidR="00363207" w:rsidRDefault="00363207" w:rsidP="007B6215">
      <w:pPr>
        <w:pStyle w:val="BodyText"/>
        <w:jc w:val="center"/>
        <w:rPr>
          <w:b/>
        </w:rPr>
      </w:pPr>
    </w:p>
    <w:p w:rsidR="00363207" w:rsidRDefault="00363207" w:rsidP="007B6215">
      <w:pPr>
        <w:pStyle w:val="BodyText"/>
        <w:jc w:val="center"/>
        <w:rPr>
          <w:b/>
        </w:rPr>
      </w:pPr>
    </w:p>
    <w:p w:rsidR="00363207" w:rsidRDefault="00363207" w:rsidP="007B6215">
      <w:pPr>
        <w:pStyle w:val="BodyText"/>
        <w:jc w:val="center"/>
        <w:rPr>
          <w:b/>
        </w:rPr>
      </w:pPr>
    </w:p>
    <w:p w:rsidR="00363207" w:rsidRDefault="00363207" w:rsidP="007B6215">
      <w:pPr>
        <w:pStyle w:val="BodyText"/>
        <w:jc w:val="center"/>
        <w:rPr>
          <w:b/>
        </w:rPr>
      </w:pPr>
    </w:p>
    <w:p w:rsidR="00363207" w:rsidRDefault="00363207" w:rsidP="007B6215">
      <w:pPr>
        <w:pStyle w:val="BodyText"/>
        <w:jc w:val="center"/>
        <w:rPr>
          <w:b/>
        </w:rPr>
      </w:pPr>
    </w:p>
    <w:p w:rsidR="00363207" w:rsidRDefault="00363207" w:rsidP="007B6215">
      <w:pPr>
        <w:pStyle w:val="BodyText"/>
        <w:jc w:val="center"/>
        <w:rPr>
          <w:b/>
        </w:rPr>
      </w:pPr>
    </w:p>
    <w:p w:rsidR="00363207" w:rsidRDefault="00363207" w:rsidP="007B6215">
      <w:pPr>
        <w:pStyle w:val="BodyText"/>
        <w:jc w:val="center"/>
        <w:rPr>
          <w:b/>
        </w:rPr>
      </w:pPr>
    </w:p>
    <w:p w:rsidR="00363207" w:rsidRDefault="00363207" w:rsidP="007B6215">
      <w:pPr>
        <w:pStyle w:val="BodyText"/>
        <w:jc w:val="center"/>
        <w:rPr>
          <w:b/>
        </w:rPr>
      </w:pPr>
    </w:p>
    <w:p w:rsidR="00363207" w:rsidRDefault="00363207" w:rsidP="007B6215">
      <w:pPr>
        <w:pStyle w:val="BodyText"/>
        <w:jc w:val="center"/>
        <w:rPr>
          <w:b/>
        </w:rPr>
      </w:pPr>
    </w:p>
    <w:p w:rsidR="00363207" w:rsidRDefault="00363207">
      <w:pPr>
        <w:spacing w:after="0" w:line="240" w:lineRule="auto"/>
        <w:jc w:val="left"/>
        <w:rPr>
          <w:b/>
          <w:lang w:eastAsia="en-GB"/>
        </w:rPr>
      </w:pPr>
      <w:r>
        <w:rPr>
          <w:b/>
        </w:rPr>
        <w:br w:type="page"/>
      </w:r>
    </w:p>
    <w:p w:rsidR="00363207" w:rsidRPr="007B6215" w:rsidRDefault="00363207" w:rsidP="007B6215">
      <w:pPr>
        <w:pStyle w:val="BodyText"/>
        <w:jc w:val="center"/>
        <w:rPr>
          <w:b/>
        </w:rPr>
      </w:pPr>
    </w:p>
    <w:p w:rsidR="0030567B" w:rsidRPr="0030567B" w:rsidRDefault="0030567B" w:rsidP="0030567B">
      <w:pPr>
        <w:pStyle w:val="BodyText"/>
        <w:numPr>
          <w:ilvl w:val="0"/>
          <w:numId w:val="13"/>
        </w:numPr>
        <w:rPr>
          <w:b/>
        </w:rPr>
      </w:pPr>
      <w:r>
        <w:rPr>
          <w:b/>
        </w:rPr>
        <w:t>Introduction</w:t>
      </w:r>
    </w:p>
    <w:p w:rsidR="007C4EDA" w:rsidRDefault="007C4EDA" w:rsidP="00293343">
      <w:pPr>
        <w:pStyle w:val="BodyText"/>
      </w:pPr>
      <w:r>
        <w:t xml:space="preserve">You have received this Information Statement because you have entered into </w:t>
      </w:r>
      <w:r w:rsidR="006E12C6">
        <w:t>or may hereafter enter into</w:t>
      </w:r>
      <w:r w:rsidR="00E00384">
        <w:t xml:space="preserve"> </w:t>
      </w:r>
      <w:r>
        <w:t xml:space="preserve">one or more </w:t>
      </w:r>
      <w:r w:rsidR="006E12C6">
        <w:t xml:space="preserve">title transfer collateral arrangements or </w:t>
      </w:r>
      <w:r>
        <w:t xml:space="preserve">security collateral arrangements </w:t>
      </w:r>
      <w:r w:rsidR="006E12C6">
        <w:t xml:space="preserve">containing a right of use </w:t>
      </w:r>
      <w:r w:rsidR="0002105A">
        <w:t>(together, "</w:t>
      </w:r>
      <w:r w:rsidR="0002105A" w:rsidRPr="009B2C77">
        <w:rPr>
          <w:b/>
        </w:rPr>
        <w:t>Collateral Arrangements</w:t>
      </w:r>
      <w:r w:rsidR="0002105A">
        <w:t xml:space="preserve">") </w:t>
      </w:r>
      <w:r>
        <w:t xml:space="preserve">with us. </w:t>
      </w:r>
    </w:p>
    <w:p w:rsidR="00673CCD" w:rsidRDefault="008133C3" w:rsidP="00293343">
      <w:pPr>
        <w:pStyle w:val="BodyText"/>
      </w:pPr>
      <w:r>
        <w:t>T</w:t>
      </w:r>
      <w:r w:rsidR="00E14778">
        <w:t xml:space="preserve">his </w:t>
      </w:r>
      <w:r w:rsidR="00776556">
        <w:t>Information</w:t>
      </w:r>
      <w:r w:rsidR="00E14778">
        <w:t xml:space="preserve"> </w:t>
      </w:r>
      <w:r w:rsidR="00776556">
        <w:t>S</w:t>
      </w:r>
      <w:r w:rsidR="00E14778">
        <w:t>tatement</w:t>
      </w:r>
      <w:r w:rsidR="00776556">
        <w:t xml:space="preserve"> has been prepared </w:t>
      </w:r>
      <w:r w:rsidR="00E00384">
        <w:t>to comply</w:t>
      </w:r>
      <w:r w:rsidR="00776556">
        <w:t xml:space="preserve"> with Article 15 of the </w:t>
      </w:r>
      <w:r w:rsidR="00686D89">
        <w:t xml:space="preserve">UK </w:t>
      </w:r>
      <w:r w:rsidR="00776556" w:rsidRPr="00433B46">
        <w:t>Securities Financing Transactions Regulation</w:t>
      </w:r>
      <w:r w:rsidR="00C44670">
        <w:t xml:space="preserve"> </w:t>
      </w:r>
      <w:r w:rsidR="00E00384">
        <w:t xml:space="preserve">by informing you of the </w:t>
      </w:r>
      <w:r w:rsidR="00C44670" w:rsidRPr="00307F83">
        <w:t>general</w:t>
      </w:r>
      <w:r w:rsidR="00C44670">
        <w:t xml:space="preserve"> </w:t>
      </w:r>
      <w:r w:rsidR="00E14778">
        <w:t xml:space="preserve">risks and consequences </w:t>
      </w:r>
      <w:r w:rsidR="000655EB">
        <w:t xml:space="preserve">that may be </w:t>
      </w:r>
      <w:r w:rsidR="00776556">
        <w:t xml:space="preserve">involved in consenting to a right of </w:t>
      </w:r>
      <w:r w:rsidR="00E14778">
        <w:t>use</w:t>
      </w:r>
      <w:r w:rsidR="00776556">
        <w:t xml:space="preserve"> of collateral provided under a security collateral arrangement</w:t>
      </w:r>
      <w:r w:rsidR="00E14778">
        <w:t xml:space="preserve"> or of concluding a titl</w:t>
      </w:r>
      <w:r w:rsidR="00776556">
        <w:t xml:space="preserve">e transfer collateral </w:t>
      </w:r>
      <w:r w:rsidR="00787365">
        <w:t>arrangement</w:t>
      </w:r>
      <w:r w:rsidR="00776556">
        <w:t xml:space="preserve"> (</w:t>
      </w:r>
      <w:r w:rsidR="00787365">
        <w:t>"</w:t>
      </w:r>
      <w:r w:rsidR="00776556" w:rsidRPr="009B2C77">
        <w:rPr>
          <w:b/>
        </w:rPr>
        <w:t>Re-use Risks and Consequences</w:t>
      </w:r>
      <w:r w:rsidR="00787365" w:rsidRPr="00787365">
        <w:t>"</w:t>
      </w:r>
      <w:r w:rsidR="00776556">
        <w:t>)</w:t>
      </w:r>
      <w:r w:rsidR="00E14778">
        <w:t>.</w:t>
      </w:r>
      <w:r w:rsidR="00776556">
        <w:t xml:space="preserve"> </w:t>
      </w:r>
      <w:r w:rsidR="00E00384">
        <w:t xml:space="preserve">The information required to be provided to you pursuant to Article 15 of the </w:t>
      </w:r>
      <w:r w:rsidR="00686D89">
        <w:t xml:space="preserve">UK </w:t>
      </w:r>
      <w:r w:rsidR="00E00384">
        <w:t>Securities Financing Transactions Regulatio</w:t>
      </w:r>
      <w:r w:rsidR="0048020A">
        <w:t>n</w:t>
      </w:r>
      <w:r w:rsidR="00E00384">
        <w:t xml:space="preserve"> relates only to </w:t>
      </w:r>
      <w:r w:rsidR="00C44670">
        <w:t>Re-use Risks and Consequences</w:t>
      </w:r>
      <w:r w:rsidR="00140CF8">
        <w:t>, and so</w:t>
      </w:r>
      <w:r w:rsidR="00E00384">
        <w:t xml:space="preserve"> this Information Statement </w:t>
      </w:r>
      <w:r w:rsidR="006552A2">
        <w:t>does not address</w:t>
      </w:r>
      <w:r w:rsidR="00E00384">
        <w:t xml:space="preserve"> </w:t>
      </w:r>
      <w:r w:rsidR="00673CCD">
        <w:t xml:space="preserve">any </w:t>
      </w:r>
      <w:r w:rsidR="00E00384">
        <w:t>other</w:t>
      </w:r>
      <w:r w:rsidR="00673CCD">
        <w:t xml:space="preserve"> risks </w:t>
      </w:r>
      <w:r w:rsidR="00E00384">
        <w:t xml:space="preserve">or consequences </w:t>
      </w:r>
      <w:r w:rsidR="00673CCD">
        <w:t>that may arise as a result of your particular circumstances or as a result of the terms of particular Transactions</w:t>
      </w:r>
      <w:r w:rsidR="00776556">
        <w:t>.</w:t>
      </w:r>
      <w:r w:rsidR="008E0A17">
        <w:rPr>
          <w:rStyle w:val="FootnoteReference"/>
        </w:rPr>
        <w:footnoteReference w:id="1"/>
      </w:r>
    </w:p>
    <w:p w:rsidR="00673CCD" w:rsidRDefault="0030567B" w:rsidP="00293343">
      <w:pPr>
        <w:pStyle w:val="BodyText"/>
      </w:pPr>
      <w:r>
        <w:t xml:space="preserve">This </w:t>
      </w:r>
      <w:r w:rsidR="00776556">
        <w:t>Information</w:t>
      </w:r>
      <w:r>
        <w:t xml:space="preserve"> </w:t>
      </w:r>
      <w:r w:rsidR="00776556">
        <w:t>S</w:t>
      </w:r>
      <w:r>
        <w:t xml:space="preserve">tatement is not intended to be, and should not be </w:t>
      </w:r>
      <w:r w:rsidR="008133C3">
        <w:t>relied upon</w:t>
      </w:r>
      <w:r>
        <w:t xml:space="preserve"> as, legal, financial, tax, accounting or other advice. Unless otherwise expressly agreed in writing, we are not providing you with </w:t>
      </w:r>
      <w:r w:rsidR="00787365">
        <w:t xml:space="preserve">any such </w:t>
      </w:r>
      <w:r>
        <w:t>legal, financial, tax, accounting or other advice and you should consult your own advisors</w:t>
      </w:r>
      <w:r w:rsidR="00341354">
        <w:t xml:space="preserve"> for advice on</w:t>
      </w:r>
      <w:r w:rsidR="00787365">
        <w:t xml:space="preserve"> consenting to a right of use of collateral provided under a security collateral arrangement or o</w:t>
      </w:r>
      <w:r w:rsidR="005F2BA4">
        <w:t>n</w:t>
      </w:r>
      <w:r w:rsidR="00787365">
        <w:t xml:space="preserve"> concluding a title transfer collateral arrangement</w:t>
      </w:r>
      <w:r w:rsidR="00341354">
        <w:t xml:space="preserve">, including the impact on your business and the requirements </w:t>
      </w:r>
      <w:r w:rsidR="00787365">
        <w:t xml:space="preserve">of, and results of, </w:t>
      </w:r>
      <w:r w:rsidR="00341354">
        <w:t xml:space="preserve">entering into </w:t>
      </w:r>
      <w:r w:rsidR="003F20FB">
        <w:t>any Transaction</w:t>
      </w:r>
      <w:r w:rsidR="00341354">
        <w:t xml:space="preserve">. </w:t>
      </w:r>
    </w:p>
    <w:p w:rsidR="00F07E7D" w:rsidRDefault="00F07E7D" w:rsidP="00293343">
      <w:pPr>
        <w:pStyle w:val="BodyText"/>
      </w:pPr>
      <w:r>
        <w:t xml:space="preserve">Appendix 2 sets out an indicative (but not exhaustive) list of types of agreement that may constitute Collateral Arrangements. </w:t>
      </w:r>
    </w:p>
    <w:p w:rsidR="0074015E" w:rsidRDefault="0074015E" w:rsidP="00293343">
      <w:pPr>
        <w:pStyle w:val="BodyText"/>
      </w:pPr>
      <w:r>
        <w:t>Appendix 3 sets out alternative disclosures that are applicable if we are (1) a U.S. broker-dealer or futures commission merchant or (2) a U.S. bank or U.S. branch or agency office of a non-U.S. bank.</w:t>
      </w:r>
    </w:p>
    <w:p w:rsidR="00E14778" w:rsidRDefault="00E14778" w:rsidP="00293343">
      <w:pPr>
        <w:pStyle w:val="BodyText"/>
      </w:pPr>
      <w:r>
        <w:t xml:space="preserve">In this </w:t>
      </w:r>
      <w:r w:rsidR="00C9067B">
        <w:t>Information Statement</w:t>
      </w:r>
      <w:r w:rsidR="00D52239">
        <w:rPr>
          <w:rStyle w:val="FootnoteReference"/>
        </w:rPr>
        <w:footnoteReference w:id="2"/>
      </w:r>
      <w:r>
        <w:t xml:space="preserve">: </w:t>
      </w:r>
      <w:bookmarkStart w:id="0" w:name="_GoBack"/>
      <w:bookmarkEnd w:id="0"/>
    </w:p>
    <w:p w:rsidR="00E14778" w:rsidRDefault="00E14778" w:rsidP="00E14778">
      <w:pPr>
        <w:pStyle w:val="BodyText"/>
        <w:numPr>
          <w:ilvl w:val="0"/>
          <w:numId w:val="14"/>
        </w:numPr>
      </w:pPr>
      <w:r>
        <w:lastRenderedPageBreak/>
        <w:t xml:space="preserve">"we", "our", "ours" and "us" refer to the provider of this </w:t>
      </w:r>
      <w:r w:rsidR="00776556">
        <w:t>Information</w:t>
      </w:r>
      <w:r>
        <w:t xml:space="preserve"> Statement that may conduct Transactions with you</w:t>
      </w:r>
      <w:r w:rsidR="00E77F21">
        <w:t xml:space="preserve"> (or, where we are acting on behalf of another person</w:t>
      </w:r>
      <w:r w:rsidR="00140CF8">
        <w:t>, including where that person is an affiliate</w:t>
      </w:r>
      <w:r w:rsidR="00E77F21">
        <w:t>, that person)</w:t>
      </w:r>
      <w:r>
        <w:t xml:space="preserve">; </w:t>
      </w:r>
    </w:p>
    <w:p w:rsidR="00E14778" w:rsidRDefault="00E14778" w:rsidP="00E14778">
      <w:pPr>
        <w:pStyle w:val="BodyText"/>
        <w:numPr>
          <w:ilvl w:val="0"/>
          <w:numId w:val="14"/>
        </w:numPr>
      </w:pPr>
      <w:r>
        <w:t xml:space="preserve">"you", "your" and "yours" refer to each of the persons to which this </w:t>
      </w:r>
      <w:r w:rsidR="00307F83">
        <w:t>Information</w:t>
      </w:r>
      <w:r>
        <w:t xml:space="preserve"> Statement is delivered or addressed in connection with entering into, </w:t>
      </w:r>
      <w:r w:rsidR="00787365">
        <w:t xml:space="preserve">continuing, </w:t>
      </w:r>
      <w:r>
        <w:t>executing or agreeing upon the terms of Transactions with us</w:t>
      </w:r>
      <w:r w:rsidR="006E12C6">
        <w:t xml:space="preserve"> (or, where you are acting on behalf of other persons, each of those persons)</w:t>
      </w:r>
      <w:r>
        <w:t xml:space="preserve">; </w:t>
      </w:r>
    </w:p>
    <w:p w:rsidR="00433B46" w:rsidRPr="00686D89" w:rsidRDefault="00433B46" w:rsidP="00433B46">
      <w:pPr>
        <w:pStyle w:val="BodyText"/>
        <w:numPr>
          <w:ilvl w:val="0"/>
          <w:numId w:val="14"/>
        </w:numPr>
      </w:pPr>
      <w:r w:rsidRPr="00433B46">
        <w:t>"</w:t>
      </w:r>
      <w:r w:rsidR="00D52239">
        <w:t xml:space="preserve">right of </w:t>
      </w:r>
      <w:r w:rsidRPr="00433B46">
        <w:t>use"</w:t>
      </w:r>
      <w:r>
        <w:t xml:space="preserve"> </w:t>
      </w:r>
      <w:r w:rsidR="00D52239">
        <w:t xml:space="preserve">means any right we </w:t>
      </w:r>
      <w:proofErr w:type="gramStart"/>
      <w:r w:rsidR="00D52239">
        <w:t>have to</w:t>
      </w:r>
      <w:proofErr w:type="gramEnd"/>
      <w:r w:rsidR="00D52239">
        <w:t xml:space="preserve"> use, in our own name and on our own account</w:t>
      </w:r>
      <w:r w:rsidR="00307F83">
        <w:t xml:space="preserve"> or the account of another counterparty</w:t>
      </w:r>
      <w:r w:rsidR="00D52239">
        <w:t xml:space="preserve">, financial instruments received by us by way of collateral </w:t>
      </w:r>
      <w:r w:rsidR="00D52239" w:rsidRPr="00686D89">
        <w:t xml:space="preserve">under a </w:t>
      </w:r>
      <w:r w:rsidR="00EA5F33" w:rsidRPr="00686D89">
        <w:t>security collateral arrangement</w:t>
      </w:r>
      <w:r w:rsidR="00776556" w:rsidRPr="00686D89">
        <w:t xml:space="preserve"> </w:t>
      </w:r>
      <w:r w:rsidR="00D52239" w:rsidRPr="00686D89">
        <w:t xml:space="preserve">between you and us; </w:t>
      </w:r>
    </w:p>
    <w:p w:rsidR="00433B46" w:rsidRPr="00686D89" w:rsidRDefault="00B90569" w:rsidP="00B90569">
      <w:pPr>
        <w:pStyle w:val="BodyText"/>
        <w:numPr>
          <w:ilvl w:val="0"/>
          <w:numId w:val="14"/>
        </w:numPr>
      </w:pPr>
      <w:r w:rsidRPr="00686D89">
        <w:t xml:space="preserve">"UK Securities Financing Transactions Regulation" means Regulation (EU) 2015/2365 of the European Parliament and of the Council of 25 November 2015 as it forms part of UK domestic law by virtue of section 3 of the European Union (Withdrawal) Act 2018 (as amended from time to time); </w:t>
      </w:r>
    </w:p>
    <w:p w:rsidR="0030567B" w:rsidRDefault="00E14778" w:rsidP="00293343">
      <w:pPr>
        <w:pStyle w:val="BodyText"/>
        <w:numPr>
          <w:ilvl w:val="0"/>
          <w:numId w:val="14"/>
        </w:numPr>
      </w:pPr>
      <w:r>
        <w:t xml:space="preserve">"Transaction" means a </w:t>
      </w:r>
      <w:r w:rsidRPr="00FE76F5">
        <w:t xml:space="preserve">transaction entered into, executed or agreed between </w:t>
      </w:r>
      <w:r w:rsidR="005F2BA4">
        <w:t xml:space="preserve">you and </w:t>
      </w:r>
      <w:r w:rsidRPr="00FE76F5">
        <w:t xml:space="preserve">us </w:t>
      </w:r>
      <w:r w:rsidR="00433B46" w:rsidRPr="00FE76F5">
        <w:t xml:space="preserve">under which you agree to provide </w:t>
      </w:r>
      <w:r w:rsidR="00D52239">
        <w:t xml:space="preserve">financial instruments as </w:t>
      </w:r>
      <w:r w:rsidR="00433B46" w:rsidRPr="00FE76F5">
        <w:t>collateral</w:t>
      </w:r>
      <w:r w:rsidR="00FE76F5" w:rsidRPr="00FE76F5">
        <w:t>,</w:t>
      </w:r>
      <w:r w:rsidR="00FE76F5">
        <w:t xml:space="preserve"> either under a security collateral arrangement or under a title transfer collateral arrangement</w:t>
      </w:r>
      <w:r w:rsidR="00433B46">
        <w:t xml:space="preserve">; </w:t>
      </w:r>
    </w:p>
    <w:p w:rsidR="00D52239" w:rsidRDefault="00D52239" w:rsidP="00293343">
      <w:pPr>
        <w:pStyle w:val="BodyText"/>
        <w:numPr>
          <w:ilvl w:val="0"/>
          <w:numId w:val="14"/>
        </w:numPr>
      </w:pPr>
      <w:r>
        <w:t xml:space="preserve">"financial instruments", "security collateral arrangement" and "title transfer collateral arrangement" have the meaning given to those terms in the </w:t>
      </w:r>
      <w:r w:rsidR="00686D89">
        <w:t xml:space="preserve">UK </w:t>
      </w:r>
      <w:r>
        <w:t>Securities Financing Transactions Regulation</w:t>
      </w:r>
      <w:r w:rsidR="009E0267">
        <w:t xml:space="preserve">. </w:t>
      </w:r>
      <w:r w:rsidR="009E0267" w:rsidRPr="00324FB3">
        <w:t>These are set out in Appendix 1 for reference.</w:t>
      </w:r>
      <w:r w:rsidR="009E0267">
        <w:t xml:space="preserve"> </w:t>
      </w:r>
    </w:p>
    <w:p w:rsidR="00272EC7" w:rsidRPr="00453CFF" w:rsidRDefault="00272EC7" w:rsidP="0030567B">
      <w:pPr>
        <w:pStyle w:val="BodyText"/>
        <w:numPr>
          <w:ilvl w:val="0"/>
          <w:numId w:val="13"/>
        </w:numPr>
        <w:rPr>
          <w:b/>
        </w:rPr>
      </w:pPr>
      <w:r w:rsidRPr="00453CFF">
        <w:rPr>
          <w:b/>
        </w:rPr>
        <w:t>R</w:t>
      </w:r>
      <w:r w:rsidR="00776556">
        <w:rPr>
          <w:b/>
        </w:rPr>
        <w:t>e-use R</w:t>
      </w:r>
      <w:r w:rsidRPr="00453CFF">
        <w:rPr>
          <w:b/>
        </w:rPr>
        <w:t xml:space="preserve">isks and </w:t>
      </w:r>
      <w:r w:rsidR="00776556">
        <w:rPr>
          <w:b/>
        </w:rPr>
        <w:t xml:space="preserve">Consequences </w:t>
      </w:r>
    </w:p>
    <w:p w:rsidR="00751746" w:rsidRPr="00787365" w:rsidRDefault="001F1771" w:rsidP="001F1771">
      <w:pPr>
        <w:pStyle w:val="BodyText"/>
        <w:numPr>
          <w:ilvl w:val="0"/>
          <w:numId w:val="22"/>
        </w:numPr>
      </w:pPr>
      <w:r>
        <w:t>Where</w:t>
      </w:r>
      <w:r w:rsidR="00751746">
        <w:t xml:space="preserve"> </w:t>
      </w:r>
      <w:r w:rsidR="00751746" w:rsidRPr="00787365">
        <w:t>you provide financial instruments to us under a title transfer collateral arrangement or if we exercise a right of use in relation to any financial instruments that you have provided to us by way of collateral under a security collateral arrangement</w:t>
      </w:r>
      <w:r w:rsidR="006E12C6">
        <w:t xml:space="preserve"> containing a right of use</w:t>
      </w:r>
      <w:r>
        <w:t>, we draw your attention to the following Re-use Risks and Consequences</w:t>
      </w:r>
      <w:r w:rsidR="00751746" w:rsidRPr="00787365">
        <w:t>:</w:t>
      </w:r>
      <w:r w:rsidR="0074015E">
        <w:rPr>
          <w:rStyle w:val="FootnoteReference"/>
        </w:rPr>
        <w:footnoteReference w:id="3"/>
      </w:r>
      <w:r w:rsidR="00751746" w:rsidRPr="00787365">
        <w:t xml:space="preserve"> </w:t>
      </w:r>
    </w:p>
    <w:p w:rsidR="00751746" w:rsidRDefault="00751746" w:rsidP="00751746">
      <w:pPr>
        <w:pStyle w:val="BodyText"/>
        <w:numPr>
          <w:ilvl w:val="2"/>
          <w:numId w:val="13"/>
        </w:numPr>
      </w:pPr>
      <w:r>
        <w:t>your rights, including any proprietary rights that you may have had</w:t>
      </w:r>
      <w:r w:rsidR="00787365">
        <w:t>,</w:t>
      </w:r>
      <w:r>
        <w:t xml:space="preserve"> in those financial instruments will be replaced by an unsecured contractual claim for </w:t>
      </w:r>
      <w:r>
        <w:lastRenderedPageBreak/>
        <w:t xml:space="preserve">delivery of equivalent financial instruments subject to the terms of the </w:t>
      </w:r>
      <w:r w:rsidR="0002105A">
        <w:t>relevant C</w:t>
      </w:r>
      <w:r>
        <w:t xml:space="preserve">ollateral </w:t>
      </w:r>
      <w:r w:rsidR="0002105A">
        <w:t>A</w:t>
      </w:r>
      <w:r w:rsidR="00E00384">
        <w:t>rrangement</w:t>
      </w:r>
      <w:r>
        <w:t xml:space="preserve">; </w:t>
      </w:r>
    </w:p>
    <w:p w:rsidR="00751746" w:rsidRDefault="00751746" w:rsidP="00751746">
      <w:pPr>
        <w:pStyle w:val="BodyText"/>
        <w:numPr>
          <w:ilvl w:val="2"/>
          <w:numId w:val="13"/>
        </w:numPr>
      </w:pPr>
      <w:r>
        <w:t>those financial instruments will not be held by us in accordance with client asset rules</w:t>
      </w:r>
      <w:r w:rsidR="00FC2814">
        <w:t>,</w:t>
      </w:r>
      <w:r>
        <w:t xml:space="preserve"> and</w:t>
      </w:r>
      <w:r w:rsidR="00FC2814">
        <w:t>,</w:t>
      </w:r>
      <w:r>
        <w:t xml:space="preserve"> if they had benefited from any client asset protection rights</w:t>
      </w:r>
      <w:r w:rsidR="00FC2814">
        <w:t>,</w:t>
      </w:r>
      <w:r>
        <w:t xml:space="preserve"> those protection rights will not apply</w:t>
      </w:r>
      <w:r w:rsidR="00C1401C">
        <w:t xml:space="preserve"> (for example, the financial instruments will not be segregated from our assets and will not be held subject to a trust)</w:t>
      </w:r>
      <w:r>
        <w:t xml:space="preserve">; </w:t>
      </w:r>
    </w:p>
    <w:p w:rsidR="00751746" w:rsidRDefault="00751746" w:rsidP="00751746">
      <w:pPr>
        <w:pStyle w:val="BodyText"/>
        <w:numPr>
          <w:ilvl w:val="2"/>
          <w:numId w:val="13"/>
        </w:numPr>
      </w:pPr>
      <w:r>
        <w:t xml:space="preserve">in the event of our insolvency </w:t>
      </w:r>
      <w:r w:rsidR="005F2BA4">
        <w:t xml:space="preserve">or default under the relevant agreement </w:t>
      </w:r>
      <w:r>
        <w:t>you</w:t>
      </w:r>
      <w:r w:rsidR="00FC2814">
        <w:t xml:space="preserve">r claim against us for delivery of </w:t>
      </w:r>
      <w:r w:rsidR="007F2EC3">
        <w:t xml:space="preserve">equivalent financial instruments </w:t>
      </w:r>
      <w:r w:rsidR="00FC2814">
        <w:t>will not be secured and will be subject to the terms of the relevant Collateral Arrangement</w:t>
      </w:r>
      <w:r w:rsidR="009C6335">
        <w:t xml:space="preserve"> and applicable law</w:t>
      </w:r>
      <w:r w:rsidR="00140CF8">
        <w:t xml:space="preserve"> and, a</w:t>
      </w:r>
      <w:r w:rsidR="00FC2814">
        <w:t>ccordingly, y</w:t>
      </w:r>
      <w:r w:rsidR="007F2EC3">
        <w:t xml:space="preserve">ou </w:t>
      </w:r>
      <w:r>
        <w:t xml:space="preserve">may not </w:t>
      </w:r>
      <w:r w:rsidR="007F2EC3">
        <w:t xml:space="preserve">receive such equivalent financial instruments or </w:t>
      </w:r>
      <w:r>
        <w:t xml:space="preserve">recover the full value of the financial instruments (although your exposure </w:t>
      </w:r>
      <w:r w:rsidR="00633872">
        <w:t>may</w:t>
      </w:r>
      <w:r>
        <w:t xml:space="preserve"> be reduced to the extent that you</w:t>
      </w:r>
      <w:r w:rsidR="00FC2814">
        <w:t xml:space="preserve"> have</w:t>
      </w:r>
      <w:r>
        <w:t xml:space="preserve"> liabilities to us </w:t>
      </w:r>
      <w:r w:rsidR="00FC2814">
        <w:t xml:space="preserve">which </w:t>
      </w:r>
      <w:r>
        <w:t xml:space="preserve">can be set off </w:t>
      </w:r>
      <w:r w:rsidR="006E12C6">
        <w:t xml:space="preserve">or netted </w:t>
      </w:r>
      <w:r>
        <w:t xml:space="preserve">against or discharged by reference to our obligation to deliver equivalent financial instruments to you); </w:t>
      </w:r>
    </w:p>
    <w:p w:rsidR="000F3E45" w:rsidRDefault="000F3E45" w:rsidP="000F3E45">
      <w:pPr>
        <w:pStyle w:val="BodyText"/>
        <w:numPr>
          <w:ilvl w:val="2"/>
          <w:numId w:val="13"/>
        </w:numPr>
      </w:pPr>
      <w:r w:rsidRPr="00DE161D">
        <w:t>in the event that a resolution authority exercises its powers under any relevant resolution regime in relation to us</w:t>
      </w:r>
      <w:r w:rsidR="00DA02A0">
        <w:t xml:space="preserve"> any rights you may have to take any action against us, such as to terminate </w:t>
      </w:r>
      <w:r w:rsidR="00DA02A0" w:rsidRPr="004C0008">
        <w:t>our agreement,</w:t>
      </w:r>
      <w:r w:rsidR="00DA02A0">
        <w:t xml:space="preserve"> may be subject to a stay by the relevant resolution authority and</w:t>
      </w:r>
      <w:r>
        <w:t xml:space="preserve">: </w:t>
      </w:r>
    </w:p>
    <w:p w:rsidR="000F3E45" w:rsidRDefault="000F3E45" w:rsidP="000F3E45">
      <w:pPr>
        <w:pStyle w:val="BodyText"/>
        <w:numPr>
          <w:ilvl w:val="3"/>
          <w:numId w:val="21"/>
        </w:numPr>
      </w:pPr>
      <w:r>
        <w:t>your claim for delivery of equivalent financial instruments may be reduced (in part or in full) or converted into equity; or</w:t>
      </w:r>
    </w:p>
    <w:p w:rsidR="000F3E45" w:rsidRDefault="000F3E45" w:rsidP="000F3E45">
      <w:pPr>
        <w:pStyle w:val="BodyText"/>
        <w:numPr>
          <w:ilvl w:val="3"/>
          <w:numId w:val="21"/>
        </w:numPr>
      </w:pPr>
      <w:r>
        <w:t>a transfer of assets or liabilities may result in your claim on us, or our claim on you, being transferred to different entities</w:t>
      </w:r>
    </w:p>
    <w:p w:rsidR="000F3E45" w:rsidRPr="00DE161D" w:rsidRDefault="000F3E45" w:rsidP="000F3E45">
      <w:pPr>
        <w:pStyle w:val="BodyText"/>
        <w:ind w:left="1800"/>
      </w:pPr>
      <w:r>
        <w:t xml:space="preserve">although you may be protected to the extent that the exercise of resolution powers is restricted by the availability of set-off or netting rights; </w:t>
      </w:r>
    </w:p>
    <w:p w:rsidR="00751746" w:rsidRDefault="00273833" w:rsidP="00751746">
      <w:pPr>
        <w:pStyle w:val="BodyText"/>
        <w:numPr>
          <w:ilvl w:val="2"/>
          <w:numId w:val="13"/>
        </w:numPr>
      </w:pPr>
      <w:r>
        <w:t xml:space="preserve">as a result of your ceasing to have a proprietary interest in </w:t>
      </w:r>
      <w:r w:rsidR="009C6335">
        <w:t>those</w:t>
      </w:r>
      <w:r>
        <w:t xml:space="preserve"> financial instruments </w:t>
      </w:r>
      <w:r w:rsidR="00751746">
        <w:t xml:space="preserve">you will not </w:t>
      </w:r>
      <w:r w:rsidR="00751746" w:rsidRPr="009B2C77">
        <w:t>be entitled</w:t>
      </w:r>
      <w:r w:rsidR="00751746">
        <w:t xml:space="preserve"> to exercise any voting, consent or similar rights attached to the financial instruments</w:t>
      </w:r>
      <w:r w:rsidR="00DA02A0">
        <w:t xml:space="preserve">, and </w:t>
      </w:r>
      <w:r w:rsidR="009B2C77">
        <w:t>even if</w:t>
      </w:r>
      <w:r w:rsidR="00751746">
        <w:t xml:space="preserve"> we have agreed to exercise voting, consent or similar rights attached to any equivalent financial instruments in accordance with your instructions</w:t>
      </w:r>
      <w:r w:rsidR="00DA02A0">
        <w:t xml:space="preserve"> or the relevant Collateral Arrangement entitles you to notify us that the equivalent financial instrument</w:t>
      </w:r>
      <w:r w:rsidR="001F1771">
        <w:t>s</w:t>
      </w:r>
      <w:r w:rsidR="00DA02A0">
        <w:t xml:space="preserve"> to be delivered by us to you should reflect your instructions with respect to the subject matter of such vote, consent or exercise of rights</w:t>
      </w:r>
      <w:r w:rsidR="00751746">
        <w:t xml:space="preserve">, </w:t>
      </w:r>
      <w:r w:rsidR="00AA2FD2">
        <w:t xml:space="preserve">in the event that we do not hold and are not </w:t>
      </w:r>
      <w:r w:rsidR="00751746">
        <w:t>able to readily obtain equivalent financial instruments</w:t>
      </w:r>
      <w:r w:rsidR="00AA2FD2">
        <w:t xml:space="preserve">, we may not be able to comply </w:t>
      </w:r>
      <w:r w:rsidR="00AA2FD2" w:rsidRPr="00031907">
        <w:lastRenderedPageBreak/>
        <w:t>(subject to any other solution that may have been agreed between the parties)</w:t>
      </w:r>
      <w:r w:rsidR="00751746" w:rsidRPr="00031907">
        <w:t>;</w:t>
      </w:r>
      <w:r w:rsidR="00751746">
        <w:t xml:space="preserve"> </w:t>
      </w:r>
    </w:p>
    <w:p w:rsidR="00273833" w:rsidRDefault="00AA2FD2" w:rsidP="00751746">
      <w:pPr>
        <w:pStyle w:val="BodyText"/>
        <w:numPr>
          <w:ilvl w:val="2"/>
          <w:numId w:val="13"/>
        </w:numPr>
      </w:pPr>
      <w:r>
        <w:t xml:space="preserve">in the event that we are not </w:t>
      </w:r>
      <w:r w:rsidR="00273833">
        <w:t xml:space="preserve">able </w:t>
      </w:r>
      <w:r w:rsidR="00FC2814">
        <w:t xml:space="preserve">to </w:t>
      </w:r>
      <w:r w:rsidR="00273833">
        <w:t>readily obtain equivalent financial instruments to deli</w:t>
      </w:r>
      <w:r>
        <w:t>ver to you at the time required</w:t>
      </w:r>
      <w:r w:rsidR="001F1771">
        <w:t>:</w:t>
      </w:r>
      <w:r>
        <w:t xml:space="preserve"> </w:t>
      </w:r>
      <w:r w:rsidR="009C6335">
        <w:t>you may be unable to fulfil your settlement obligations under a hedging or other transaction you have entered into in relation to those financial instruments</w:t>
      </w:r>
      <w:r w:rsidR="001F1771">
        <w:t>;</w:t>
      </w:r>
      <w:r w:rsidR="009C6335">
        <w:t xml:space="preserve"> a</w:t>
      </w:r>
      <w:r w:rsidR="00912F36">
        <w:t xml:space="preserve"> counterparty, exchange or other person may exercise a right to buy-in the relevant financial instruments</w:t>
      </w:r>
      <w:r w:rsidR="001F1771">
        <w:t>; and</w:t>
      </w:r>
      <w:r w:rsidR="00912F36">
        <w:t xml:space="preserve"> </w:t>
      </w:r>
      <w:r w:rsidR="00273833">
        <w:t xml:space="preserve">you may be unable to </w:t>
      </w:r>
      <w:r w:rsidR="009C6335">
        <w:t>exercise rights</w:t>
      </w:r>
      <w:r w:rsidR="00273833">
        <w:t xml:space="preserve"> or take other action in relation to those financial instruments; </w:t>
      </w:r>
    </w:p>
    <w:p w:rsidR="00751746" w:rsidRDefault="00751746" w:rsidP="00751746">
      <w:pPr>
        <w:pStyle w:val="BodyText"/>
        <w:numPr>
          <w:ilvl w:val="2"/>
          <w:numId w:val="13"/>
        </w:numPr>
      </w:pPr>
      <w:r>
        <w:t>subject to any express agreement between you and us, we will have no obligation to inform you of any corporate events or actions in relation to th</w:t>
      </w:r>
      <w:r w:rsidR="005F2BA4">
        <w:t>os</w:t>
      </w:r>
      <w:r>
        <w:t xml:space="preserve">e financial instruments; </w:t>
      </w:r>
    </w:p>
    <w:p w:rsidR="00751746" w:rsidRDefault="00751746" w:rsidP="00751746">
      <w:pPr>
        <w:pStyle w:val="BodyText"/>
        <w:numPr>
          <w:ilvl w:val="2"/>
          <w:numId w:val="13"/>
        </w:numPr>
      </w:pPr>
      <w:r>
        <w:t>you will not be entitled to receive any divi</w:t>
      </w:r>
      <w:r w:rsidR="006437E8">
        <w:t>dends, coupon or other payments, interests or rights (including securities or property accruing or offered at any time)</w:t>
      </w:r>
      <w:r w:rsidR="00273833">
        <w:t xml:space="preserve"> </w:t>
      </w:r>
      <w:r>
        <w:t>payable in relation to th</w:t>
      </w:r>
      <w:r w:rsidR="005F2BA4">
        <w:t>os</w:t>
      </w:r>
      <w:r>
        <w:t>e financial instruments</w:t>
      </w:r>
      <w:r w:rsidR="004F5D30">
        <w:t xml:space="preserve">, </w:t>
      </w:r>
      <w:r>
        <w:t xml:space="preserve">although the express written terms of the </w:t>
      </w:r>
      <w:r w:rsidR="00273833">
        <w:t xml:space="preserve">relevant </w:t>
      </w:r>
      <w:r w:rsidR="0002105A">
        <w:t>Collateral Arrangement</w:t>
      </w:r>
      <w:r w:rsidR="00273833">
        <w:t xml:space="preserve"> or </w:t>
      </w:r>
      <w:r>
        <w:t xml:space="preserve">Transaction may provide for you to receive or be credited with a </w:t>
      </w:r>
      <w:r w:rsidR="0009549A">
        <w:t xml:space="preserve">payment by reference to such </w:t>
      </w:r>
      <w:r>
        <w:t xml:space="preserve">dividend, coupon or other payment </w:t>
      </w:r>
      <w:r w:rsidR="0009549A">
        <w:t xml:space="preserve">(a </w:t>
      </w:r>
      <w:r w:rsidR="00DA01A8">
        <w:t>"</w:t>
      </w:r>
      <w:r w:rsidR="0009549A" w:rsidRPr="00DA01A8">
        <w:t xml:space="preserve">manufactured </w:t>
      </w:r>
      <w:r w:rsidR="0076374F">
        <w:t>payment"</w:t>
      </w:r>
      <w:r w:rsidR="0009549A">
        <w:t>)</w:t>
      </w:r>
      <w:r>
        <w:t xml:space="preserve">; </w:t>
      </w:r>
    </w:p>
    <w:p w:rsidR="00751746" w:rsidRDefault="0009549A" w:rsidP="00751746">
      <w:pPr>
        <w:pStyle w:val="BodyText"/>
        <w:numPr>
          <w:ilvl w:val="2"/>
          <w:numId w:val="13"/>
        </w:numPr>
      </w:pPr>
      <w:r>
        <w:t>the provision of title transfer collateral to us</w:t>
      </w:r>
      <w:r w:rsidR="00DA01A8">
        <w:t>,</w:t>
      </w:r>
      <w:r>
        <w:t xml:space="preserve"> our exercise of a</w:t>
      </w:r>
      <w:r w:rsidR="00751746">
        <w:t xml:space="preserve"> right of </w:t>
      </w:r>
      <w:r>
        <w:t xml:space="preserve">use in respect of any financial collateral provided to us </w:t>
      </w:r>
      <w:r w:rsidR="00273833">
        <w:t xml:space="preserve">by you </w:t>
      </w:r>
      <w:r w:rsidR="00DA01A8">
        <w:t>and</w:t>
      </w:r>
      <w:r>
        <w:t xml:space="preserve"> the </w:t>
      </w:r>
      <w:r w:rsidR="00751746">
        <w:t xml:space="preserve">delivery </w:t>
      </w:r>
      <w:r>
        <w:t xml:space="preserve">by us </w:t>
      </w:r>
      <w:r w:rsidR="00273833">
        <w:t xml:space="preserve">to you </w:t>
      </w:r>
      <w:r w:rsidR="00751746">
        <w:t xml:space="preserve">of equivalent financial instruments may give rise to tax consequences that differ from the tax consequences that would have otherwise applied in relation to the holding </w:t>
      </w:r>
      <w:r>
        <w:t xml:space="preserve">by you or by us for your account </w:t>
      </w:r>
      <w:r w:rsidR="00751746">
        <w:t>of th</w:t>
      </w:r>
      <w:r w:rsidR="005F2BA4">
        <w:t>os</w:t>
      </w:r>
      <w:r w:rsidR="00751746">
        <w:t xml:space="preserve">e financial instruments; </w:t>
      </w:r>
    </w:p>
    <w:p w:rsidR="00751746" w:rsidRDefault="00751746" w:rsidP="00751746">
      <w:pPr>
        <w:pStyle w:val="BodyText"/>
        <w:numPr>
          <w:ilvl w:val="2"/>
          <w:numId w:val="13"/>
        </w:numPr>
      </w:pPr>
      <w:r>
        <w:t xml:space="preserve">where you receive or are credited with a manufactured </w:t>
      </w:r>
      <w:r w:rsidR="00273833">
        <w:t>payment</w:t>
      </w:r>
      <w:r>
        <w:t xml:space="preserve">, </w:t>
      </w:r>
      <w:r w:rsidR="0009549A">
        <w:t>your</w:t>
      </w:r>
      <w:r>
        <w:t xml:space="preserve"> tax treatment may differ from </w:t>
      </w:r>
      <w:r w:rsidR="0009549A">
        <w:t>your</w:t>
      </w:r>
      <w:r>
        <w:t xml:space="preserve"> tax treatment </w:t>
      </w:r>
      <w:r w:rsidR="0009549A">
        <w:t xml:space="preserve">in respect </w:t>
      </w:r>
      <w:r>
        <w:t>of the original dividend, coupon or other payment in relation to th</w:t>
      </w:r>
      <w:r w:rsidR="005F2BA4">
        <w:t>os</w:t>
      </w:r>
      <w:r>
        <w:t>e financial instruments</w:t>
      </w:r>
      <w:r w:rsidR="001F1771">
        <w:t>.</w:t>
      </w:r>
    </w:p>
    <w:p w:rsidR="005D6987" w:rsidRDefault="001F1771" w:rsidP="00385CE1">
      <w:pPr>
        <w:pStyle w:val="BodyText"/>
        <w:numPr>
          <w:ilvl w:val="1"/>
          <w:numId w:val="13"/>
        </w:numPr>
      </w:pPr>
      <w:r>
        <w:t>W</w:t>
      </w:r>
      <w:r w:rsidR="005D6987">
        <w:t xml:space="preserve">here we </w:t>
      </w:r>
      <w:r w:rsidR="00385CE1">
        <w:t>provide you with clearing services (whether directly as a clearing member or otherwise)</w:t>
      </w:r>
      <w:r>
        <w:t>, we draw your attention to</w:t>
      </w:r>
      <w:r w:rsidR="00385CE1">
        <w:t xml:space="preserve"> the following additional Re-use Risks and Consequences</w:t>
      </w:r>
      <w:r w:rsidR="00D068DF">
        <w:rPr>
          <w:rStyle w:val="FootnoteReference"/>
        </w:rPr>
        <w:footnoteReference w:id="4"/>
      </w:r>
      <w:r w:rsidR="00385CE1">
        <w:t>:</w:t>
      </w:r>
    </w:p>
    <w:p w:rsidR="00685CEC" w:rsidRDefault="00685CEC" w:rsidP="00385CE1">
      <w:pPr>
        <w:pStyle w:val="BodyText"/>
        <w:numPr>
          <w:ilvl w:val="2"/>
          <w:numId w:val="13"/>
        </w:numPr>
      </w:pPr>
      <w:r>
        <w:t>i</w:t>
      </w:r>
      <w:r w:rsidR="00113FB4">
        <w:t>f</w:t>
      </w:r>
      <w:r w:rsidR="00031907">
        <w:t xml:space="preserve"> we are declared to be in </w:t>
      </w:r>
      <w:r w:rsidR="00031907" w:rsidRPr="009A786F">
        <w:t xml:space="preserve">default </w:t>
      </w:r>
      <w:r w:rsidR="00031907" w:rsidRPr="0048020A">
        <w:t xml:space="preserve">by an EU </w:t>
      </w:r>
      <w:r w:rsidR="009A786F" w:rsidRPr="0048020A">
        <w:t xml:space="preserve">or UK </w:t>
      </w:r>
      <w:r w:rsidR="00031907" w:rsidRPr="0048020A">
        <w:t>central counterparty</w:t>
      </w:r>
      <w:r w:rsidR="00031907" w:rsidRPr="009A786F">
        <w:t xml:space="preserve"> ("</w:t>
      </w:r>
      <w:r w:rsidR="00031907" w:rsidRPr="009A786F">
        <w:rPr>
          <w:b/>
        </w:rPr>
        <w:t>CCP</w:t>
      </w:r>
      <w:r w:rsidRPr="009A786F">
        <w:t>")</w:t>
      </w:r>
      <w:r w:rsidR="00031907" w:rsidRPr="009A786F">
        <w:t xml:space="preserve"> </w:t>
      </w:r>
      <w:r w:rsidRPr="009A786F">
        <w:t>the CCP will try to transfer ("</w:t>
      </w:r>
      <w:r w:rsidRPr="009A786F">
        <w:rPr>
          <w:b/>
        </w:rPr>
        <w:t>port</w:t>
      </w:r>
      <w:r w:rsidRPr="009A786F">
        <w:t>") your</w:t>
      </w:r>
      <w:r>
        <w:t xml:space="preserve"> transactions and assets </w:t>
      </w:r>
      <w:r>
        <w:lastRenderedPageBreak/>
        <w:t>to another clearing broker or, if this cannot be achieved</w:t>
      </w:r>
      <w:r w:rsidR="009A1069">
        <w:t>,</w:t>
      </w:r>
      <w:r>
        <w:t xml:space="preserve"> the CCP will terminate your transactions; </w:t>
      </w:r>
    </w:p>
    <w:p w:rsidR="00C44670" w:rsidRDefault="00685CEC" w:rsidP="00586FDF">
      <w:pPr>
        <w:pStyle w:val="BodyText"/>
        <w:numPr>
          <w:ilvl w:val="2"/>
          <w:numId w:val="13"/>
        </w:numPr>
      </w:pPr>
      <w:r>
        <w:t>i</w:t>
      </w:r>
      <w:r w:rsidR="00113FB4">
        <w:t xml:space="preserve">n the event that other parties in the clearing structure default (e.g., a </w:t>
      </w:r>
      <w:r w:rsidR="007D09B8">
        <w:t>central counterparty</w:t>
      </w:r>
      <w:r w:rsidR="00113FB4">
        <w:t>, a custodian, settlement agent or any clearing broker that we may instruct) you may not receive all of your assets back</w:t>
      </w:r>
      <w:r>
        <w:t xml:space="preserve"> and your rights may differ depending</w:t>
      </w:r>
      <w:r w:rsidR="00113FB4">
        <w:t xml:space="preserve"> on the law of the country in which the </w:t>
      </w:r>
      <w:r>
        <w:t>party</w:t>
      </w:r>
      <w:r w:rsidR="00113FB4">
        <w:t xml:space="preserve"> is incorporated (which </w:t>
      </w:r>
      <w:r w:rsidR="00C62CDE">
        <w:t>may</w:t>
      </w:r>
      <w:r w:rsidR="00113FB4">
        <w:t xml:space="preserve"> not necessarily be English law) and the specific protections that </w:t>
      </w:r>
      <w:r>
        <w:t>that party</w:t>
      </w:r>
      <w:r w:rsidR="00113FB4">
        <w:t xml:space="preserve"> has put in place</w:t>
      </w:r>
      <w:r>
        <w:t>;</w:t>
      </w:r>
    </w:p>
    <w:p w:rsidR="00C44670" w:rsidRDefault="00685CEC" w:rsidP="00685CEC">
      <w:pPr>
        <w:pStyle w:val="BodyText"/>
        <w:numPr>
          <w:ilvl w:val="2"/>
          <w:numId w:val="13"/>
        </w:numPr>
      </w:pPr>
      <w:r>
        <w:t>i</w:t>
      </w:r>
      <w:r w:rsidR="00586FDF">
        <w:t xml:space="preserve">n some </w:t>
      </w:r>
      <w:proofErr w:type="gramStart"/>
      <w:r w:rsidR="00586FDF">
        <w:t>cases</w:t>
      </w:r>
      <w:proofErr w:type="gramEnd"/>
      <w:r w:rsidR="00586FDF">
        <w:t xml:space="preserve"> a </w:t>
      </w:r>
      <w:r w:rsidR="007D09B8">
        <w:t>central counterparty</w:t>
      </w:r>
      <w:r w:rsidR="00586FDF">
        <w:t xml:space="preserve"> may benefit from legislation which protects actions it may take under its default rules</w:t>
      </w:r>
      <w:r>
        <w:t xml:space="preserve"> </w:t>
      </w:r>
      <w:r w:rsidR="00586FDF">
        <w:t xml:space="preserve">in relation to a defaulting clearing member </w:t>
      </w:r>
      <w:r>
        <w:t xml:space="preserve">(e.g., to port transactions and related assets) </w:t>
      </w:r>
      <w:r w:rsidR="00586FDF">
        <w:t xml:space="preserve">from being challenged under relevant insolvency law. </w:t>
      </w:r>
      <w:r w:rsidR="00C44670">
        <w:br w:type="page"/>
      </w:r>
    </w:p>
    <w:p w:rsidR="009E0267" w:rsidRDefault="009E0267" w:rsidP="009E0267">
      <w:pPr>
        <w:spacing w:after="0" w:line="240" w:lineRule="auto"/>
        <w:jc w:val="center"/>
        <w:rPr>
          <w:b/>
          <w:lang w:eastAsia="en-GB"/>
        </w:rPr>
      </w:pPr>
      <w:r>
        <w:rPr>
          <w:b/>
          <w:lang w:eastAsia="en-GB"/>
        </w:rPr>
        <w:t>Appendix 1</w:t>
      </w:r>
    </w:p>
    <w:p w:rsidR="009E0267" w:rsidRDefault="009E0267" w:rsidP="00D44DBE">
      <w:pPr>
        <w:spacing w:after="0" w:line="240" w:lineRule="auto"/>
        <w:rPr>
          <w:b/>
          <w:lang w:eastAsia="en-GB"/>
        </w:rPr>
      </w:pPr>
    </w:p>
    <w:p w:rsidR="009E0267" w:rsidRDefault="009E0267" w:rsidP="00D44DBE">
      <w:pPr>
        <w:spacing w:after="0"/>
        <w:rPr>
          <w:b/>
          <w:lang w:eastAsia="en-GB"/>
        </w:rPr>
      </w:pPr>
    </w:p>
    <w:p w:rsidR="00686D89" w:rsidRPr="0048020A" w:rsidRDefault="00686D89" w:rsidP="0048020A">
      <w:pPr>
        <w:spacing w:after="0"/>
        <w:rPr>
          <w:bCs/>
          <w:lang w:eastAsia="en-GB"/>
        </w:rPr>
      </w:pPr>
      <w:r w:rsidRPr="00686D89">
        <w:rPr>
          <w:lang w:eastAsia="en-GB"/>
        </w:rPr>
        <w:t>Defined</w:t>
      </w:r>
      <w:r w:rsidRPr="0048020A">
        <w:rPr>
          <w:bCs/>
          <w:lang w:eastAsia="en-GB"/>
        </w:rPr>
        <w:t xml:space="preserve"> terms for the purposes of the UK Securities Financing Transactions Regulation: </w:t>
      </w:r>
    </w:p>
    <w:p w:rsidR="00686D89" w:rsidRPr="00686D89" w:rsidRDefault="00686D89" w:rsidP="00D44DBE">
      <w:pPr>
        <w:spacing w:after="0"/>
        <w:rPr>
          <w:bCs/>
          <w:lang w:eastAsia="en-GB"/>
        </w:rPr>
      </w:pPr>
    </w:p>
    <w:p w:rsidR="00686D89" w:rsidRDefault="00686D89" w:rsidP="00686D89">
      <w:pPr>
        <w:spacing w:after="0"/>
        <w:rPr>
          <w:lang w:eastAsia="en-GB"/>
        </w:rPr>
      </w:pPr>
      <w:r>
        <w:rPr>
          <w:lang w:eastAsia="en-GB"/>
        </w:rPr>
        <w:t>"</w:t>
      </w:r>
      <w:r w:rsidRPr="00B126D5">
        <w:rPr>
          <w:b/>
          <w:lang w:eastAsia="en-GB"/>
        </w:rPr>
        <w:t>financial instrument</w:t>
      </w:r>
      <w:r>
        <w:rPr>
          <w:lang w:eastAsia="en-GB"/>
        </w:rPr>
        <w:t xml:space="preserve">" means the instruments </w:t>
      </w:r>
      <w:r w:rsidR="00636B07">
        <w:rPr>
          <w:lang w:eastAsia="en-GB"/>
        </w:rPr>
        <w:t>specified in Part 1 of Schedule 2 to the Regulated Activities Order (SI 2001/544)</w:t>
      </w:r>
      <w:r>
        <w:rPr>
          <w:lang w:eastAsia="en-GB"/>
        </w:rPr>
        <w:t>,</w:t>
      </w:r>
      <w:r w:rsidR="00636B07">
        <w:rPr>
          <w:lang w:eastAsia="en-GB"/>
        </w:rPr>
        <w:t xml:space="preserve"> read with Part 2 of that Schedule,</w:t>
      </w:r>
      <w:r>
        <w:rPr>
          <w:lang w:eastAsia="en-GB"/>
        </w:rPr>
        <w:t xml:space="preserve"> and includes without limitation: </w:t>
      </w:r>
    </w:p>
    <w:p w:rsidR="00686D89" w:rsidRDefault="00686D89" w:rsidP="00686D89">
      <w:pPr>
        <w:pStyle w:val="ListParagraph"/>
        <w:numPr>
          <w:ilvl w:val="0"/>
          <w:numId w:val="19"/>
        </w:numPr>
        <w:spacing w:after="0"/>
        <w:rPr>
          <w:lang w:eastAsia="en-GB"/>
        </w:rPr>
      </w:pPr>
      <w:r>
        <w:rPr>
          <w:lang w:eastAsia="en-GB"/>
        </w:rPr>
        <w:t>Transferable securities;</w:t>
      </w:r>
    </w:p>
    <w:p w:rsidR="00686D89" w:rsidRDefault="00686D89" w:rsidP="00686D89">
      <w:pPr>
        <w:pStyle w:val="ListParagraph"/>
        <w:numPr>
          <w:ilvl w:val="0"/>
          <w:numId w:val="19"/>
        </w:numPr>
        <w:spacing w:after="0"/>
        <w:rPr>
          <w:lang w:eastAsia="en-GB"/>
        </w:rPr>
      </w:pPr>
      <w:r>
        <w:rPr>
          <w:lang w:eastAsia="en-GB"/>
        </w:rPr>
        <w:t>Money-market instruments;</w:t>
      </w:r>
    </w:p>
    <w:p w:rsidR="00686D89" w:rsidRDefault="00686D89" w:rsidP="00686D89">
      <w:pPr>
        <w:pStyle w:val="ListParagraph"/>
        <w:numPr>
          <w:ilvl w:val="0"/>
          <w:numId w:val="19"/>
        </w:numPr>
        <w:spacing w:after="0"/>
        <w:rPr>
          <w:lang w:eastAsia="en-GB"/>
        </w:rPr>
      </w:pPr>
      <w:r>
        <w:rPr>
          <w:lang w:eastAsia="en-GB"/>
        </w:rPr>
        <w:t>Units in collective investment undertakings.</w:t>
      </w:r>
    </w:p>
    <w:p w:rsidR="00686D89" w:rsidRDefault="00686D89" w:rsidP="00686D89">
      <w:pPr>
        <w:spacing w:after="0"/>
        <w:rPr>
          <w:lang w:eastAsia="en-GB"/>
        </w:rPr>
      </w:pPr>
    </w:p>
    <w:p w:rsidR="00636B07" w:rsidRPr="00636B07" w:rsidRDefault="00686D89" w:rsidP="00686D89">
      <w:pPr>
        <w:spacing w:after="0"/>
        <w:rPr>
          <w:lang w:eastAsia="en-GB"/>
        </w:rPr>
      </w:pPr>
      <w:r w:rsidRPr="00636B07">
        <w:rPr>
          <w:lang w:eastAsia="en-GB"/>
        </w:rPr>
        <w:t>"</w:t>
      </w:r>
      <w:r w:rsidRPr="00636B07">
        <w:rPr>
          <w:b/>
          <w:lang w:eastAsia="en-GB"/>
        </w:rPr>
        <w:t>title transfer collateral arrangement</w:t>
      </w:r>
      <w:r w:rsidRPr="00636B07">
        <w:rPr>
          <w:lang w:eastAsia="en-GB"/>
        </w:rPr>
        <w:t xml:space="preserve">" means </w:t>
      </w:r>
      <w:r w:rsidR="00636B07" w:rsidRPr="00636B07">
        <w:rPr>
          <w:lang w:eastAsia="en-GB"/>
        </w:rPr>
        <w:t xml:space="preserve">an agreement or arrangement, including a repurchase agreement, evidenced in writing, where: </w:t>
      </w:r>
    </w:p>
    <w:p w:rsidR="00686D89" w:rsidRPr="00636B07" w:rsidRDefault="00636B07" w:rsidP="00636B07">
      <w:pPr>
        <w:pStyle w:val="ListParagraph"/>
        <w:numPr>
          <w:ilvl w:val="0"/>
          <w:numId w:val="26"/>
        </w:numPr>
        <w:spacing w:after="0"/>
        <w:rPr>
          <w:lang w:eastAsia="en-GB"/>
        </w:rPr>
      </w:pPr>
      <w:r w:rsidRPr="00636B07">
        <w:rPr>
          <w:lang w:eastAsia="en-GB"/>
        </w:rPr>
        <w:t xml:space="preserve">The purpose of the agreement or arrangement is to secure or otherwise cover the relevant financial obligations owed to the collateral-taker; </w:t>
      </w:r>
    </w:p>
    <w:p w:rsidR="00636B07" w:rsidRPr="00636B07" w:rsidRDefault="00636B07" w:rsidP="00885965">
      <w:pPr>
        <w:pStyle w:val="ListParagraph"/>
        <w:numPr>
          <w:ilvl w:val="0"/>
          <w:numId w:val="26"/>
        </w:numPr>
        <w:spacing w:after="0"/>
        <w:rPr>
          <w:lang w:eastAsia="en-GB"/>
        </w:rPr>
      </w:pPr>
      <w:r w:rsidRPr="00636B07">
        <w:rPr>
          <w:lang w:eastAsia="en-GB"/>
        </w:rPr>
        <w:t>The collateral-provider transfers legal and beneficial ownership in financial collateral to a collateral-taker on terms that when the relevant financial obligations are discharged the collateral-taker must transfer legal and beneficial ownership of equivalent financial collateral to the collateral-provider.</w:t>
      </w:r>
    </w:p>
    <w:p w:rsidR="00686D89" w:rsidRPr="00636B07" w:rsidRDefault="00686D89" w:rsidP="00686D89">
      <w:pPr>
        <w:spacing w:after="0"/>
        <w:rPr>
          <w:highlight w:val="yellow"/>
          <w:lang w:eastAsia="en-GB"/>
        </w:rPr>
      </w:pPr>
    </w:p>
    <w:p w:rsidR="00636B07" w:rsidRPr="00636B07" w:rsidRDefault="00686D89" w:rsidP="00686D89">
      <w:pPr>
        <w:spacing w:after="0"/>
        <w:rPr>
          <w:lang w:eastAsia="en-GB"/>
        </w:rPr>
      </w:pPr>
      <w:r w:rsidRPr="00636B07">
        <w:rPr>
          <w:lang w:eastAsia="en-GB"/>
        </w:rPr>
        <w:t>"</w:t>
      </w:r>
      <w:r w:rsidRPr="00636B07">
        <w:rPr>
          <w:b/>
          <w:lang w:eastAsia="en-GB"/>
        </w:rPr>
        <w:t>security collateral arrangement</w:t>
      </w:r>
      <w:r w:rsidRPr="00636B07">
        <w:rPr>
          <w:lang w:eastAsia="en-GB"/>
        </w:rPr>
        <w:t xml:space="preserve">" means an </w:t>
      </w:r>
      <w:r w:rsidR="00636B07" w:rsidRPr="00636B07">
        <w:rPr>
          <w:lang w:eastAsia="en-GB"/>
        </w:rPr>
        <w:t xml:space="preserve">agreement or </w:t>
      </w:r>
      <w:r w:rsidRPr="00636B07">
        <w:rPr>
          <w:lang w:eastAsia="en-GB"/>
        </w:rPr>
        <w:t>arrangement</w:t>
      </w:r>
      <w:r w:rsidR="00636B07" w:rsidRPr="00636B07">
        <w:rPr>
          <w:lang w:eastAsia="en-GB"/>
        </w:rPr>
        <w:t xml:space="preserve">, evidenced in writing, where: </w:t>
      </w:r>
    </w:p>
    <w:p w:rsidR="00636B07" w:rsidRPr="00636B07" w:rsidRDefault="00636B07" w:rsidP="00636B07">
      <w:pPr>
        <w:pStyle w:val="ListParagraph"/>
        <w:numPr>
          <w:ilvl w:val="0"/>
          <w:numId w:val="27"/>
        </w:numPr>
        <w:spacing w:after="0"/>
        <w:rPr>
          <w:lang w:eastAsia="en-GB"/>
        </w:rPr>
      </w:pPr>
      <w:r w:rsidRPr="00636B07">
        <w:rPr>
          <w:lang w:eastAsia="en-GB"/>
        </w:rPr>
        <w:t xml:space="preserve">The purpose of the agreement or arrangement is to secure the relevant financial obligations owed to the collateral-taker; </w:t>
      </w:r>
    </w:p>
    <w:p w:rsidR="00636B07" w:rsidRDefault="00636B07" w:rsidP="00636B07">
      <w:pPr>
        <w:pStyle w:val="ListParagraph"/>
        <w:numPr>
          <w:ilvl w:val="0"/>
          <w:numId w:val="27"/>
        </w:numPr>
        <w:spacing w:after="0"/>
        <w:rPr>
          <w:lang w:eastAsia="en-GB"/>
        </w:rPr>
      </w:pPr>
      <w:r w:rsidRPr="00636B07">
        <w:rPr>
          <w:lang w:eastAsia="en-GB"/>
        </w:rPr>
        <w:t xml:space="preserve">The collateral-provider creates or there arises a security interest in financial collateral to secure those obligations; </w:t>
      </w:r>
    </w:p>
    <w:p w:rsidR="00636B07" w:rsidRPr="00636B07" w:rsidRDefault="00636B07" w:rsidP="006E48F8">
      <w:pPr>
        <w:pStyle w:val="ListParagraph"/>
        <w:numPr>
          <w:ilvl w:val="0"/>
          <w:numId w:val="27"/>
        </w:numPr>
        <w:spacing w:after="0"/>
        <w:rPr>
          <w:lang w:eastAsia="en-GB"/>
        </w:rPr>
      </w:pPr>
      <w:r>
        <w:rPr>
          <w:lang w:eastAsia="en-GB"/>
        </w:rPr>
        <w:t>The financial collateral is delivered, transferred, held, registered or otherwise designated so as to be in the possession or under the control of the collateral-taker or a person acting on its behalf; any right of the collateral-provider to substitute financial collateral of the same or greater value or withdraw excess financial collateral or to collect the proceeds of credit claims until further notice shall not prevent the financial collateral being in the possession or under the control of the collateral-taker.</w:t>
      </w:r>
    </w:p>
    <w:p w:rsidR="009E0267" w:rsidRPr="00686D89" w:rsidRDefault="009E0267" w:rsidP="009E0267">
      <w:pPr>
        <w:spacing w:after="0"/>
        <w:jc w:val="left"/>
        <w:rPr>
          <w:bCs/>
          <w:lang w:eastAsia="en-GB"/>
        </w:rPr>
      </w:pPr>
    </w:p>
    <w:p w:rsidR="009E0267" w:rsidRPr="00686D89" w:rsidRDefault="009E0267" w:rsidP="009E0267">
      <w:pPr>
        <w:spacing w:after="0"/>
        <w:jc w:val="left"/>
        <w:rPr>
          <w:bCs/>
          <w:lang w:eastAsia="en-GB"/>
        </w:rPr>
      </w:pPr>
    </w:p>
    <w:p w:rsidR="009E0267" w:rsidRDefault="009E0267">
      <w:pPr>
        <w:spacing w:after="0" w:line="240" w:lineRule="auto"/>
        <w:jc w:val="left"/>
        <w:rPr>
          <w:b/>
          <w:lang w:eastAsia="en-GB"/>
        </w:rPr>
      </w:pPr>
      <w:r>
        <w:rPr>
          <w:b/>
          <w:lang w:eastAsia="en-GB"/>
        </w:rPr>
        <w:br w:type="page"/>
      </w:r>
    </w:p>
    <w:p w:rsidR="00C44670" w:rsidRDefault="00C44670" w:rsidP="00C44670">
      <w:pPr>
        <w:spacing w:after="0"/>
        <w:jc w:val="center"/>
        <w:rPr>
          <w:b/>
          <w:lang w:eastAsia="en-GB"/>
        </w:rPr>
      </w:pPr>
      <w:r>
        <w:rPr>
          <w:b/>
          <w:lang w:eastAsia="en-GB"/>
        </w:rPr>
        <w:t>Appendix</w:t>
      </w:r>
      <w:r w:rsidR="009E0267">
        <w:rPr>
          <w:b/>
          <w:lang w:eastAsia="en-GB"/>
        </w:rPr>
        <w:t xml:space="preserve"> 2</w:t>
      </w:r>
    </w:p>
    <w:p w:rsidR="00C44670" w:rsidRDefault="00C44670" w:rsidP="00D44DBE">
      <w:pPr>
        <w:spacing w:after="0"/>
        <w:rPr>
          <w:b/>
          <w:lang w:eastAsia="en-GB"/>
        </w:rPr>
      </w:pPr>
    </w:p>
    <w:p w:rsidR="005D6987" w:rsidRPr="005D6987" w:rsidRDefault="005D6987" w:rsidP="00D44DBE">
      <w:pPr>
        <w:spacing w:after="0"/>
        <w:rPr>
          <w:lang w:eastAsia="en-GB"/>
        </w:rPr>
      </w:pPr>
      <w:r w:rsidRPr="005D6987">
        <w:rPr>
          <w:lang w:eastAsia="en-GB"/>
        </w:rPr>
        <w:t xml:space="preserve">We have set out below </w:t>
      </w:r>
      <w:r>
        <w:rPr>
          <w:lang w:eastAsia="en-GB"/>
        </w:rPr>
        <w:t>examples of the types of agreements to which this Information Statement applies. These examples are for illustrative purposes only and should not be relied upon as a legal determination of the characterisation of each agreement. The fact that an agreement is grouped with Title Transfer Collateral Agreements below does not preclude its characterisation as a Security Collateral Arrangement with a right of use</w:t>
      </w:r>
      <w:r w:rsidR="0074015E">
        <w:rPr>
          <w:lang w:eastAsia="en-GB"/>
        </w:rPr>
        <w:t xml:space="preserve"> and vice versa</w:t>
      </w:r>
      <w:r>
        <w:rPr>
          <w:lang w:eastAsia="en-GB"/>
        </w:rPr>
        <w:t xml:space="preserve">. </w:t>
      </w:r>
      <w:r w:rsidR="0074015E">
        <w:rPr>
          <w:lang w:eastAsia="en-GB"/>
        </w:rPr>
        <w:t xml:space="preserve">Moreover, the characterization of an agreement may be different under U.S. and </w:t>
      </w:r>
      <w:r w:rsidR="0048020A">
        <w:rPr>
          <w:lang w:eastAsia="en-GB"/>
        </w:rPr>
        <w:t>English</w:t>
      </w:r>
      <w:r w:rsidR="0074015E">
        <w:rPr>
          <w:lang w:eastAsia="en-GB"/>
        </w:rPr>
        <w:t xml:space="preserve"> law.</w:t>
      </w:r>
    </w:p>
    <w:p w:rsidR="005D6987" w:rsidRDefault="005D6987" w:rsidP="00D44DBE">
      <w:pPr>
        <w:spacing w:after="0"/>
        <w:rPr>
          <w:b/>
          <w:lang w:eastAsia="en-GB"/>
        </w:rPr>
      </w:pPr>
    </w:p>
    <w:p w:rsidR="00C44670" w:rsidRDefault="00C44670" w:rsidP="00D44DBE">
      <w:pPr>
        <w:spacing w:after="0" w:line="360" w:lineRule="auto"/>
        <w:rPr>
          <w:lang w:eastAsia="en-GB"/>
        </w:rPr>
      </w:pPr>
      <w:r>
        <w:rPr>
          <w:lang w:eastAsia="en-GB"/>
        </w:rPr>
        <w:t>Title Transfer Collateral Arrangement</w:t>
      </w:r>
    </w:p>
    <w:p w:rsidR="00D44DBE" w:rsidRDefault="00D44DBE" w:rsidP="00D44DBE">
      <w:pPr>
        <w:spacing w:after="0" w:line="360" w:lineRule="auto"/>
        <w:rPr>
          <w:lang w:eastAsia="en-GB"/>
        </w:rPr>
      </w:pPr>
    </w:p>
    <w:p w:rsidR="00C44670" w:rsidRDefault="00C44670" w:rsidP="00D44DBE">
      <w:pPr>
        <w:pStyle w:val="ListParagraph"/>
        <w:spacing w:after="0" w:line="360" w:lineRule="auto"/>
        <w:rPr>
          <w:lang w:eastAsia="en-GB"/>
        </w:rPr>
      </w:pPr>
      <w:r>
        <w:rPr>
          <w:lang w:eastAsia="en-GB"/>
        </w:rPr>
        <w:t xml:space="preserve">Such arrangements may include without limitation: </w:t>
      </w:r>
    </w:p>
    <w:p w:rsidR="00C44670" w:rsidRPr="00870240" w:rsidRDefault="00C44670" w:rsidP="00D44DBE">
      <w:pPr>
        <w:pStyle w:val="ListParagraph"/>
        <w:numPr>
          <w:ilvl w:val="0"/>
          <w:numId w:val="16"/>
        </w:numPr>
        <w:spacing w:after="0" w:line="360" w:lineRule="auto"/>
        <w:rPr>
          <w:lang w:eastAsia="en-GB"/>
        </w:rPr>
      </w:pPr>
      <w:r w:rsidRPr="00870240">
        <w:rPr>
          <w:lang w:eastAsia="en-GB"/>
        </w:rPr>
        <w:t>Overseas Securities Lender's Agreement</w:t>
      </w:r>
    </w:p>
    <w:p w:rsidR="00C44670" w:rsidRPr="00870240" w:rsidRDefault="00C44670" w:rsidP="00D44DBE">
      <w:pPr>
        <w:pStyle w:val="ListParagraph"/>
        <w:numPr>
          <w:ilvl w:val="0"/>
          <w:numId w:val="16"/>
        </w:numPr>
        <w:spacing w:after="0" w:line="360" w:lineRule="auto"/>
        <w:rPr>
          <w:lang w:eastAsia="en-GB"/>
        </w:rPr>
      </w:pPr>
      <w:r w:rsidRPr="00870240">
        <w:rPr>
          <w:lang w:eastAsia="en-GB"/>
        </w:rPr>
        <w:t>Global Master Securities Lending Agreement</w:t>
      </w:r>
    </w:p>
    <w:p w:rsidR="00F0301C" w:rsidRDefault="00C44670" w:rsidP="00D44DBE">
      <w:pPr>
        <w:pStyle w:val="ListParagraph"/>
        <w:numPr>
          <w:ilvl w:val="0"/>
          <w:numId w:val="16"/>
        </w:numPr>
        <w:spacing w:after="0" w:line="360" w:lineRule="auto"/>
        <w:rPr>
          <w:lang w:eastAsia="en-GB"/>
        </w:rPr>
      </w:pPr>
      <w:r w:rsidRPr="00870240">
        <w:rPr>
          <w:lang w:eastAsia="en-GB"/>
        </w:rPr>
        <w:t>Global Master Repurchase Agreement</w:t>
      </w:r>
    </w:p>
    <w:p w:rsidR="00BF764D" w:rsidRPr="00870240" w:rsidRDefault="00BF764D" w:rsidP="00366316">
      <w:pPr>
        <w:pStyle w:val="ListParagraph"/>
        <w:numPr>
          <w:ilvl w:val="0"/>
          <w:numId w:val="16"/>
        </w:numPr>
        <w:spacing w:after="0" w:line="360" w:lineRule="auto"/>
        <w:jc w:val="left"/>
        <w:rPr>
          <w:lang w:eastAsia="en-GB"/>
        </w:rPr>
      </w:pPr>
      <w:r>
        <w:rPr>
          <w:lang w:eastAsia="en-GB"/>
        </w:rPr>
        <w:t>SIFMA Master Repurchase Agreement</w:t>
      </w:r>
    </w:p>
    <w:p w:rsidR="00C44670" w:rsidRDefault="00A0428D" w:rsidP="00D44DBE">
      <w:pPr>
        <w:pStyle w:val="ListParagraph"/>
        <w:numPr>
          <w:ilvl w:val="0"/>
          <w:numId w:val="16"/>
        </w:numPr>
        <w:spacing w:after="0" w:line="360" w:lineRule="auto"/>
        <w:rPr>
          <w:lang w:eastAsia="en-GB"/>
        </w:rPr>
      </w:pPr>
      <w:r>
        <w:rPr>
          <w:lang w:eastAsia="en-GB"/>
        </w:rPr>
        <w:t xml:space="preserve">An </w:t>
      </w:r>
      <w:r w:rsidR="00647421" w:rsidRPr="00870240">
        <w:rPr>
          <w:lang w:eastAsia="en-GB"/>
        </w:rPr>
        <w:t xml:space="preserve">ISDA Master Agreement incorporating an </w:t>
      </w:r>
      <w:r w:rsidR="00C44670" w:rsidRPr="00870240">
        <w:rPr>
          <w:lang w:eastAsia="en-GB"/>
        </w:rPr>
        <w:t xml:space="preserve">English Law </w:t>
      </w:r>
      <w:r w:rsidR="00FC2814" w:rsidRPr="00870240">
        <w:rPr>
          <w:lang w:eastAsia="en-GB"/>
        </w:rPr>
        <w:t xml:space="preserve">ISDA </w:t>
      </w:r>
      <w:r w:rsidR="00C44670" w:rsidRPr="00870240">
        <w:rPr>
          <w:lang w:eastAsia="en-GB"/>
        </w:rPr>
        <w:t>Credit Support Annex</w:t>
      </w:r>
    </w:p>
    <w:p w:rsidR="00CB4524" w:rsidRPr="00870240" w:rsidRDefault="000C64BD" w:rsidP="00D44DBE">
      <w:pPr>
        <w:pStyle w:val="ListParagraph"/>
        <w:numPr>
          <w:ilvl w:val="0"/>
          <w:numId w:val="16"/>
        </w:numPr>
        <w:spacing w:after="0" w:line="360" w:lineRule="auto"/>
        <w:rPr>
          <w:lang w:eastAsia="en-GB"/>
        </w:rPr>
      </w:pPr>
      <w:r>
        <w:rPr>
          <w:lang w:eastAsia="en-GB"/>
        </w:rPr>
        <w:t xml:space="preserve">An </w:t>
      </w:r>
      <w:r w:rsidR="00CB4524">
        <w:rPr>
          <w:lang w:eastAsia="en-GB"/>
        </w:rPr>
        <w:t>ISDA/FIA Client Cleared OTC Derivatives Addendum</w:t>
      </w:r>
      <w:r>
        <w:rPr>
          <w:lang w:eastAsia="en-GB"/>
        </w:rPr>
        <w:t xml:space="preserve"> which provides for title transfer collateral arrangements and in particular where entered into in connection with an English law governed ISDA Master Agreement which includes</w:t>
      </w:r>
      <w:r w:rsidR="00CB4524">
        <w:rPr>
          <w:lang w:eastAsia="en-GB"/>
        </w:rPr>
        <w:t xml:space="preserve"> the English law CSA Collateral Terms as set out in Appendix 1 thereto</w:t>
      </w:r>
      <w:r w:rsidR="003B2B92">
        <w:rPr>
          <w:lang w:eastAsia="en-GB"/>
        </w:rPr>
        <w:t>, or when entered into in connection with a relevant FIA client clearing agreement</w:t>
      </w:r>
    </w:p>
    <w:p w:rsidR="0002105A" w:rsidRPr="00870240" w:rsidRDefault="0002105A" w:rsidP="00D44DBE">
      <w:pPr>
        <w:pStyle w:val="ListParagraph"/>
        <w:numPr>
          <w:ilvl w:val="0"/>
          <w:numId w:val="16"/>
        </w:numPr>
        <w:spacing w:after="0" w:line="360" w:lineRule="auto"/>
        <w:rPr>
          <w:lang w:eastAsia="en-GB"/>
        </w:rPr>
      </w:pPr>
      <w:r w:rsidRPr="00870240">
        <w:rPr>
          <w:lang w:eastAsia="en-GB"/>
        </w:rPr>
        <w:t>Master Gilt Edged Stock Lending Agreement</w:t>
      </w:r>
    </w:p>
    <w:p w:rsidR="0002105A" w:rsidRPr="00870240" w:rsidRDefault="0002105A" w:rsidP="00D44DBE">
      <w:pPr>
        <w:pStyle w:val="ListParagraph"/>
        <w:numPr>
          <w:ilvl w:val="0"/>
          <w:numId w:val="16"/>
        </w:numPr>
        <w:spacing w:after="0" w:line="360" w:lineRule="auto"/>
        <w:rPr>
          <w:lang w:eastAsia="en-GB"/>
        </w:rPr>
      </w:pPr>
      <w:r w:rsidRPr="00870240">
        <w:rPr>
          <w:lang w:eastAsia="en-GB"/>
        </w:rPr>
        <w:t xml:space="preserve">Master Equity and Fixed Interest Stock Lending Agreement </w:t>
      </w:r>
    </w:p>
    <w:p w:rsidR="00A5426B" w:rsidRDefault="00A5426B" w:rsidP="00D44DBE">
      <w:pPr>
        <w:pStyle w:val="ListParagraph"/>
        <w:numPr>
          <w:ilvl w:val="0"/>
          <w:numId w:val="16"/>
        </w:numPr>
        <w:spacing w:after="0" w:line="360" w:lineRule="auto"/>
        <w:rPr>
          <w:lang w:eastAsia="en-GB"/>
        </w:rPr>
      </w:pPr>
      <w:r>
        <w:rPr>
          <w:lang w:eastAsia="en-GB"/>
        </w:rPr>
        <w:t>Prime brokerage agreements which provide for title transfer collateral arrangements</w:t>
      </w:r>
    </w:p>
    <w:p w:rsidR="00A0428D" w:rsidRDefault="00A0428D" w:rsidP="00D44DBE">
      <w:pPr>
        <w:pStyle w:val="ListParagraph"/>
        <w:numPr>
          <w:ilvl w:val="0"/>
          <w:numId w:val="16"/>
        </w:numPr>
        <w:spacing w:after="0" w:line="360" w:lineRule="auto"/>
        <w:rPr>
          <w:lang w:eastAsia="en-GB"/>
        </w:rPr>
      </w:pPr>
      <w:r w:rsidRPr="007260BE">
        <w:rPr>
          <w:lang w:eastAsia="en-GB"/>
        </w:rPr>
        <w:t>FIA client clearing agreements for exchange traded</w:t>
      </w:r>
      <w:r w:rsidR="003B2B92">
        <w:rPr>
          <w:lang w:eastAsia="en-GB"/>
        </w:rPr>
        <w:t xml:space="preserve"> and other cleared</w:t>
      </w:r>
      <w:r w:rsidRPr="007260BE">
        <w:rPr>
          <w:lang w:eastAsia="en-GB"/>
        </w:rPr>
        <w:t xml:space="preserve"> derivatives which provide for title transfer collateral arrangements</w:t>
      </w:r>
    </w:p>
    <w:p w:rsidR="00A0428D" w:rsidRDefault="00A0428D" w:rsidP="00D44DBE">
      <w:pPr>
        <w:pStyle w:val="ListParagraph"/>
        <w:numPr>
          <w:ilvl w:val="0"/>
          <w:numId w:val="16"/>
        </w:numPr>
        <w:spacing w:after="0" w:line="360" w:lineRule="auto"/>
        <w:contextualSpacing w:val="0"/>
        <w:rPr>
          <w:lang w:eastAsia="en-GB"/>
        </w:rPr>
      </w:pPr>
      <w:r w:rsidRPr="007260BE">
        <w:rPr>
          <w:lang w:eastAsia="en-GB"/>
        </w:rPr>
        <w:t>FIA Clearing Module which provides for title transfer collateral arrangements</w:t>
      </w:r>
    </w:p>
    <w:p w:rsidR="00C57998" w:rsidRDefault="00C329C6" w:rsidP="00D44DBE">
      <w:pPr>
        <w:pStyle w:val="ListParagraph"/>
        <w:numPr>
          <w:ilvl w:val="0"/>
          <w:numId w:val="16"/>
        </w:numPr>
        <w:spacing w:after="0" w:line="360" w:lineRule="auto"/>
        <w:rPr>
          <w:lang w:eastAsia="en-GB"/>
        </w:rPr>
      </w:pPr>
      <w:r>
        <w:rPr>
          <w:lang w:eastAsia="en-GB"/>
        </w:rPr>
        <w:t>Any bespoke agreements granting security by way of transfer of title to the secured party</w:t>
      </w:r>
    </w:p>
    <w:p w:rsidR="00C44670" w:rsidRDefault="00C44670" w:rsidP="00D44DBE">
      <w:pPr>
        <w:spacing w:after="0" w:line="360" w:lineRule="auto"/>
        <w:rPr>
          <w:lang w:eastAsia="en-GB"/>
        </w:rPr>
      </w:pPr>
    </w:p>
    <w:p w:rsidR="00C44670" w:rsidRDefault="00C44670" w:rsidP="00D44DBE">
      <w:pPr>
        <w:spacing w:after="0" w:line="360" w:lineRule="auto"/>
        <w:rPr>
          <w:lang w:eastAsia="en-GB"/>
        </w:rPr>
      </w:pPr>
      <w:r>
        <w:rPr>
          <w:lang w:eastAsia="en-GB"/>
        </w:rPr>
        <w:t>Security Collateral Arrangement</w:t>
      </w:r>
      <w:r w:rsidR="00875C47">
        <w:rPr>
          <w:lang w:eastAsia="en-GB"/>
        </w:rPr>
        <w:t xml:space="preserve"> containing a right of use</w:t>
      </w:r>
    </w:p>
    <w:p w:rsidR="00D44DBE" w:rsidRDefault="00D44DBE" w:rsidP="00D44DBE">
      <w:pPr>
        <w:spacing w:after="0" w:line="360" w:lineRule="auto"/>
        <w:rPr>
          <w:lang w:eastAsia="en-GB"/>
        </w:rPr>
      </w:pPr>
    </w:p>
    <w:p w:rsidR="00C44670" w:rsidRPr="003B2B92" w:rsidRDefault="00C44670" w:rsidP="00D44DBE">
      <w:pPr>
        <w:pStyle w:val="ListParagraph"/>
        <w:spacing w:after="0" w:line="360" w:lineRule="auto"/>
        <w:rPr>
          <w:rFonts w:cs="Times New Roman"/>
          <w:lang w:eastAsia="en-GB"/>
        </w:rPr>
      </w:pPr>
      <w:r w:rsidRPr="003B2B92">
        <w:rPr>
          <w:rFonts w:cs="Times New Roman"/>
          <w:lang w:eastAsia="en-GB"/>
        </w:rPr>
        <w:t xml:space="preserve">Such </w:t>
      </w:r>
      <w:r w:rsidRPr="00D44DBE">
        <w:rPr>
          <w:lang w:eastAsia="en-GB"/>
        </w:rPr>
        <w:t>arrangements</w:t>
      </w:r>
      <w:r w:rsidRPr="003B2B92">
        <w:rPr>
          <w:rFonts w:cs="Times New Roman"/>
          <w:lang w:eastAsia="en-GB"/>
        </w:rPr>
        <w:t xml:space="preserve"> may include without limitation: </w:t>
      </w:r>
    </w:p>
    <w:p w:rsidR="00870240" w:rsidRPr="003B2B92" w:rsidRDefault="00A0428D" w:rsidP="00D44DBE">
      <w:pPr>
        <w:pStyle w:val="ListParagraph"/>
        <w:numPr>
          <w:ilvl w:val="0"/>
          <w:numId w:val="17"/>
        </w:numPr>
        <w:spacing w:after="0" w:line="360" w:lineRule="auto"/>
        <w:rPr>
          <w:rFonts w:cs="Times New Roman"/>
          <w:lang w:eastAsia="en-GB"/>
        </w:rPr>
      </w:pPr>
      <w:r>
        <w:rPr>
          <w:rFonts w:cs="Times New Roman"/>
          <w:lang w:eastAsia="en-GB"/>
        </w:rPr>
        <w:t xml:space="preserve">An </w:t>
      </w:r>
      <w:r w:rsidR="00870240" w:rsidRPr="003B2B92">
        <w:rPr>
          <w:rFonts w:cs="Times New Roman"/>
          <w:lang w:eastAsia="en-GB"/>
        </w:rPr>
        <w:t>ISDA Master Agreement incorporating a New York Law ISDA Credit Support Annex</w:t>
      </w:r>
      <w:r w:rsidR="000C64BD" w:rsidRPr="003B2B92">
        <w:rPr>
          <w:rFonts w:cs="Times New Roman"/>
          <w:lang w:eastAsia="en-GB"/>
        </w:rPr>
        <w:t xml:space="preserve"> </w:t>
      </w:r>
    </w:p>
    <w:p w:rsidR="000C64BD" w:rsidRPr="003B2B92" w:rsidRDefault="000C64BD" w:rsidP="00D44DBE">
      <w:pPr>
        <w:pStyle w:val="ListParagraph"/>
        <w:numPr>
          <w:ilvl w:val="0"/>
          <w:numId w:val="17"/>
        </w:numPr>
        <w:spacing w:after="0" w:line="360" w:lineRule="auto"/>
        <w:rPr>
          <w:rFonts w:cs="Times New Roman"/>
          <w:lang w:eastAsia="en-GB"/>
        </w:rPr>
      </w:pPr>
      <w:r w:rsidRPr="000C64BD">
        <w:rPr>
          <w:rFonts w:cs="Times New Roman"/>
          <w:lang w:eastAsia="en-GB"/>
        </w:rPr>
        <w:t xml:space="preserve">An </w:t>
      </w:r>
      <w:r w:rsidRPr="003B2B92">
        <w:rPr>
          <w:rFonts w:cs="Times New Roman"/>
          <w:lang w:eastAsia="en-GB"/>
        </w:rPr>
        <w:t xml:space="preserve">ISDA/FIA Client Cleared OTC Derivatives Addendum </w:t>
      </w:r>
      <w:r w:rsidRPr="000C64BD">
        <w:rPr>
          <w:rFonts w:cs="Times New Roman"/>
          <w:lang w:eastAsia="en-GB"/>
        </w:rPr>
        <w:t xml:space="preserve">which provides for security collateral arrangements </w:t>
      </w:r>
      <w:r>
        <w:rPr>
          <w:lang w:eastAsia="en-GB"/>
        </w:rPr>
        <w:t>and in particular where entered into in connection</w:t>
      </w:r>
      <w:r w:rsidRPr="003B2B92">
        <w:rPr>
          <w:rFonts w:cs="Times New Roman"/>
          <w:lang w:eastAsia="en-GB"/>
        </w:rPr>
        <w:t xml:space="preserve"> a New York </w:t>
      </w:r>
      <w:r w:rsidRPr="00EB3DEF">
        <w:rPr>
          <w:rFonts w:cs="Times New Roman"/>
          <w:lang w:eastAsia="en-GB"/>
        </w:rPr>
        <w:t xml:space="preserve">law governed ISDA Master Agreement including the </w:t>
      </w:r>
      <w:r w:rsidRPr="00085B40">
        <w:rPr>
          <w:rFonts w:cs="Times New Roman"/>
          <w:lang w:eastAsia="en-GB"/>
        </w:rPr>
        <w:t>New York law CSA Collateral Terms as set out in Appendix 2 thereto</w:t>
      </w:r>
      <w:r w:rsidR="003B2B92">
        <w:rPr>
          <w:rFonts w:cs="Times New Roman"/>
          <w:lang w:eastAsia="en-GB"/>
        </w:rPr>
        <w:t>, or when entered into in connection with a relevant FIA client clearing agreement</w:t>
      </w:r>
    </w:p>
    <w:p w:rsidR="00870240" w:rsidRPr="00085B40" w:rsidRDefault="00A0428D" w:rsidP="00D44DBE">
      <w:pPr>
        <w:pStyle w:val="ListParagraph"/>
        <w:numPr>
          <w:ilvl w:val="0"/>
          <w:numId w:val="17"/>
        </w:numPr>
        <w:spacing w:after="0" w:line="360" w:lineRule="auto"/>
        <w:rPr>
          <w:rFonts w:cs="Times New Roman"/>
          <w:lang w:eastAsia="en-GB"/>
        </w:rPr>
      </w:pPr>
      <w:r>
        <w:rPr>
          <w:rFonts w:cs="Times New Roman"/>
          <w:lang w:eastAsia="en-GB"/>
        </w:rPr>
        <w:t xml:space="preserve">An </w:t>
      </w:r>
      <w:r w:rsidR="00870240" w:rsidRPr="003B2B92">
        <w:rPr>
          <w:rFonts w:cs="Times New Roman"/>
          <w:lang w:eastAsia="en-GB"/>
        </w:rPr>
        <w:t>ISDA Master Agreement in respect of which an English Law ISDA Credit Support Deed incorporati</w:t>
      </w:r>
      <w:r w:rsidR="00870240" w:rsidRPr="00EB3DEF">
        <w:rPr>
          <w:rFonts w:cs="Times New Roman"/>
          <w:lang w:eastAsia="en-GB"/>
        </w:rPr>
        <w:t>ng a right of use is</w:t>
      </w:r>
      <w:r w:rsidR="00870240" w:rsidRPr="00085B40">
        <w:rPr>
          <w:rFonts w:cs="Times New Roman"/>
          <w:lang w:eastAsia="en-GB"/>
        </w:rPr>
        <w:t xml:space="preserve"> a credit support document</w:t>
      </w:r>
    </w:p>
    <w:p w:rsidR="00C44670" w:rsidRPr="00085B40" w:rsidRDefault="00C44670" w:rsidP="00D44DBE">
      <w:pPr>
        <w:pStyle w:val="ListParagraph"/>
        <w:numPr>
          <w:ilvl w:val="0"/>
          <w:numId w:val="17"/>
        </w:numPr>
        <w:spacing w:after="0" w:line="360" w:lineRule="auto"/>
        <w:rPr>
          <w:rFonts w:cs="Times New Roman"/>
          <w:lang w:eastAsia="en-GB"/>
        </w:rPr>
      </w:pPr>
      <w:r w:rsidRPr="00085B40">
        <w:rPr>
          <w:rFonts w:cs="Times New Roman"/>
          <w:lang w:eastAsia="en-GB"/>
        </w:rPr>
        <w:t>Prime brokerage agreements</w:t>
      </w:r>
      <w:r w:rsidR="00443500" w:rsidRPr="00085B40">
        <w:rPr>
          <w:rFonts w:cs="Times New Roman"/>
          <w:lang w:eastAsia="en-GB"/>
        </w:rPr>
        <w:t xml:space="preserve"> which provide for the creation of security over financial instruments</w:t>
      </w:r>
    </w:p>
    <w:p w:rsidR="00A0428D" w:rsidRPr="00066202" w:rsidRDefault="00A0428D" w:rsidP="00D44DBE">
      <w:pPr>
        <w:pStyle w:val="ListParagraph"/>
        <w:numPr>
          <w:ilvl w:val="0"/>
          <w:numId w:val="17"/>
        </w:numPr>
        <w:spacing w:after="0" w:line="360" w:lineRule="auto"/>
        <w:rPr>
          <w:rFonts w:cs="Times New Roman"/>
          <w:lang w:eastAsia="en-GB"/>
        </w:rPr>
      </w:pPr>
      <w:r w:rsidRPr="00066202">
        <w:rPr>
          <w:rFonts w:cs="Times New Roman"/>
          <w:lang w:eastAsia="en-GB"/>
        </w:rPr>
        <w:t xml:space="preserve">FIA client clearing agreements for exchange traded </w:t>
      </w:r>
      <w:r w:rsidR="003B2B92">
        <w:rPr>
          <w:rFonts w:cs="Times New Roman"/>
          <w:lang w:eastAsia="en-GB"/>
        </w:rPr>
        <w:t xml:space="preserve">and other cleared </w:t>
      </w:r>
      <w:r w:rsidRPr="00066202">
        <w:rPr>
          <w:rFonts w:cs="Times New Roman"/>
          <w:lang w:eastAsia="en-GB"/>
        </w:rPr>
        <w:t>derivatives which provide for a creation of security over financial instruments</w:t>
      </w:r>
    </w:p>
    <w:p w:rsidR="00A0428D" w:rsidRPr="00066202" w:rsidRDefault="00A0428D" w:rsidP="00D44DBE">
      <w:pPr>
        <w:pStyle w:val="ListParagraph"/>
        <w:numPr>
          <w:ilvl w:val="0"/>
          <w:numId w:val="17"/>
        </w:numPr>
        <w:spacing w:after="0" w:line="360" w:lineRule="auto"/>
        <w:rPr>
          <w:rFonts w:cs="Times New Roman"/>
          <w:lang w:eastAsia="en-GB"/>
        </w:rPr>
      </w:pPr>
      <w:r w:rsidRPr="00066202">
        <w:rPr>
          <w:rFonts w:cs="Times New Roman"/>
          <w:lang w:eastAsia="en-GB"/>
        </w:rPr>
        <w:t>FIA Clearing Module which provides for a creation of security ov</w:t>
      </w:r>
      <w:r>
        <w:rPr>
          <w:rFonts w:cs="Times New Roman"/>
          <w:lang w:eastAsia="en-GB"/>
        </w:rPr>
        <w:t>er financial instruments</w:t>
      </w:r>
    </w:p>
    <w:p w:rsidR="00C44670" w:rsidRDefault="000F52E5" w:rsidP="00D44DBE">
      <w:pPr>
        <w:pStyle w:val="ListParagraph"/>
        <w:numPr>
          <w:ilvl w:val="0"/>
          <w:numId w:val="17"/>
        </w:numPr>
        <w:spacing w:after="0" w:line="360" w:lineRule="auto"/>
        <w:rPr>
          <w:rFonts w:cs="Times New Roman"/>
          <w:lang w:eastAsia="en-GB"/>
        </w:rPr>
      </w:pPr>
      <w:r w:rsidRPr="003B2B92">
        <w:rPr>
          <w:rFonts w:cs="Times New Roman"/>
          <w:lang w:eastAsia="en-GB"/>
        </w:rPr>
        <w:t>Security arrangements in relation to m</w:t>
      </w:r>
      <w:r w:rsidR="00C44670" w:rsidRPr="003B2B92">
        <w:rPr>
          <w:rFonts w:cs="Times New Roman"/>
          <w:lang w:eastAsia="en-GB"/>
        </w:rPr>
        <w:t xml:space="preserve">argin loan documentation and </w:t>
      </w:r>
      <w:r w:rsidR="00443500" w:rsidRPr="003B2B92">
        <w:rPr>
          <w:rFonts w:cs="Times New Roman"/>
          <w:lang w:eastAsia="en-GB"/>
        </w:rPr>
        <w:t xml:space="preserve">associated </w:t>
      </w:r>
      <w:r w:rsidR="00C44670" w:rsidRPr="00EB3DEF">
        <w:rPr>
          <w:rFonts w:cs="Times New Roman"/>
          <w:lang w:eastAsia="en-GB"/>
        </w:rPr>
        <w:t>custody agreements</w:t>
      </w:r>
    </w:p>
    <w:p w:rsidR="00BF764D" w:rsidRPr="00BF764D" w:rsidRDefault="00BF764D" w:rsidP="00366316">
      <w:pPr>
        <w:pStyle w:val="ListParagraph"/>
        <w:numPr>
          <w:ilvl w:val="0"/>
          <w:numId w:val="17"/>
        </w:numPr>
        <w:spacing w:after="0" w:line="360" w:lineRule="auto"/>
        <w:jc w:val="left"/>
        <w:rPr>
          <w:lang w:eastAsia="en-GB"/>
        </w:rPr>
      </w:pPr>
      <w:r>
        <w:rPr>
          <w:lang w:eastAsia="en-GB"/>
        </w:rPr>
        <w:t>SIFMA Master Securities Lending Agreement (this agreement is generally a security collateral arrangement with respect to collateral delivered to the lender; the borrower takes title to the borrowed securities)</w:t>
      </w:r>
    </w:p>
    <w:p w:rsidR="00C57998" w:rsidRDefault="00647421" w:rsidP="00894A06">
      <w:pPr>
        <w:pStyle w:val="ListParagraph"/>
        <w:numPr>
          <w:ilvl w:val="0"/>
          <w:numId w:val="17"/>
        </w:numPr>
        <w:spacing w:after="0" w:line="360" w:lineRule="auto"/>
        <w:rPr>
          <w:rFonts w:cs="Times New Roman"/>
          <w:lang w:eastAsia="en-GB"/>
        </w:rPr>
      </w:pPr>
      <w:r w:rsidRPr="00085B40">
        <w:rPr>
          <w:rFonts w:cs="Times New Roman"/>
          <w:lang w:eastAsia="en-GB"/>
        </w:rPr>
        <w:t>Any bespoke security agreements creating security in respect of financial instruments with rehypothecation rights or a right of use over the financial instruments in favour of the secured party</w:t>
      </w:r>
    </w:p>
    <w:p w:rsidR="00D72BF2" w:rsidRDefault="00D72BF2" w:rsidP="00D72BF2">
      <w:pPr>
        <w:pStyle w:val="ListParagraph"/>
        <w:spacing w:after="0" w:line="360" w:lineRule="auto"/>
        <w:rPr>
          <w:rFonts w:cs="Times New Roman"/>
          <w:lang w:eastAsia="en-GB"/>
        </w:rPr>
      </w:pPr>
      <w:r>
        <w:rPr>
          <w:rFonts w:cs="Times New Roman"/>
          <w:lang w:eastAsia="en-GB"/>
        </w:rPr>
        <w:br w:type="page"/>
      </w:r>
    </w:p>
    <w:p w:rsidR="00D72BF2" w:rsidRPr="0023158E" w:rsidRDefault="00D72BF2" w:rsidP="00D72BF2">
      <w:pPr>
        <w:spacing w:after="0" w:line="360" w:lineRule="auto"/>
        <w:jc w:val="center"/>
        <w:rPr>
          <w:b/>
          <w:lang w:eastAsia="en-GB"/>
        </w:rPr>
      </w:pPr>
      <w:r w:rsidRPr="0023158E">
        <w:rPr>
          <w:b/>
          <w:lang w:eastAsia="en-GB"/>
        </w:rPr>
        <w:t>Appendix 3</w:t>
      </w:r>
    </w:p>
    <w:p w:rsidR="00D72BF2" w:rsidRDefault="00D72BF2" w:rsidP="00D72BF2">
      <w:pPr>
        <w:spacing w:after="0" w:line="360" w:lineRule="auto"/>
        <w:rPr>
          <w:b/>
          <w:lang w:eastAsia="en-GB"/>
        </w:rPr>
      </w:pPr>
      <w:r w:rsidRPr="00620CEA">
        <w:rPr>
          <w:b/>
          <w:lang w:eastAsia="en-GB"/>
        </w:rPr>
        <w:t>U</w:t>
      </w:r>
      <w:r>
        <w:rPr>
          <w:b/>
          <w:lang w:eastAsia="en-GB"/>
        </w:rPr>
        <w:t>.</w:t>
      </w:r>
      <w:r w:rsidRPr="00620CEA">
        <w:rPr>
          <w:b/>
          <w:lang w:eastAsia="en-GB"/>
        </w:rPr>
        <w:t>S</w:t>
      </w:r>
      <w:r>
        <w:rPr>
          <w:b/>
          <w:lang w:eastAsia="en-GB"/>
        </w:rPr>
        <w:t>.</w:t>
      </w:r>
      <w:r w:rsidRPr="00620CEA">
        <w:rPr>
          <w:b/>
          <w:lang w:eastAsia="en-GB"/>
        </w:rPr>
        <w:t xml:space="preserve"> BROKER-DEALER</w:t>
      </w:r>
      <w:r>
        <w:rPr>
          <w:b/>
          <w:lang w:eastAsia="en-GB"/>
        </w:rPr>
        <w:t>, U.S. FUTURES COMMISSION MERCHANT,</w:t>
      </w:r>
    </w:p>
    <w:p w:rsidR="00D72BF2" w:rsidRDefault="00D72BF2" w:rsidP="00D72BF2">
      <w:pPr>
        <w:spacing w:after="0" w:line="360" w:lineRule="auto"/>
        <w:rPr>
          <w:b/>
          <w:lang w:eastAsia="en-GB"/>
        </w:rPr>
      </w:pPr>
      <w:r>
        <w:rPr>
          <w:b/>
          <w:lang w:eastAsia="en-GB"/>
        </w:rPr>
        <w:t>or U.S. BANK</w:t>
      </w:r>
      <w:r w:rsidRPr="00620CEA">
        <w:rPr>
          <w:b/>
          <w:lang w:eastAsia="en-GB"/>
        </w:rPr>
        <w:t>:</w:t>
      </w:r>
    </w:p>
    <w:p w:rsidR="00D72BF2" w:rsidRPr="00D65DA3" w:rsidRDefault="00D72BF2" w:rsidP="00D72BF2">
      <w:pPr>
        <w:rPr>
          <w:lang w:val="en-US" w:eastAsia="en-GB"/>
        </w:rPr>
      </w:pPr>
      <w:r w:rsidRPr="00D65DA3">
        <w:rPr>
          <w:lang w:val="en-US" w:eastAsia="en-GB"/>
        </w:rPr>
        <w:t>This Appendix describes the Re</w:t>
      </w:r>
      <w:r>
        <w:rPr>
          <w:lang w:val="en-US" w:eastAsia="en-GB"/>
        </w:rPr>
        <w:t>-</w:t>
      </w:r>
      <w:r w:rsidRPr="00D65DA3">
        <w:rPr>
          <w:lang w:val="en-US" w:eastAsia="en-GB"/>
        </w:rPr>
        <w:t xml:space="preserve">use Risks and Consequences that may arise under </w:t>
      </w:r>
      <w:r>
        <w:rPr>
          <w:lang w:val="en-US" w:eastAsia="en-GB"/>
        </w:rPr>
        <w:t xml:space="preserve">Collateral </w:t>
      </w:r>
      <w:r w:rsidRPr="00D65DA3">
        <w:rPr>
          <w:lang w:val="en-US" w:eastAsia="en-GB"/>
        </w:rPr>
        <w:t xml:space="preserve">Arrangements with </w:t>
      </w:r>
      <w:r>
        <w:rPr>
          <w:lang w:val="en-US" w:eastAsia="en-GB"/>
        </w:rPr>
        <w:t>a bank</w:t>
      </w:r>
      <w:r w:rsidRPr="00D65DA3">
        <w:rPr>
          <w:lang w:val="en-US" w:eastAsia="en-GB"/>
        </w:rPr>
        <w:t xml:space="preserve"> chartered under U.S. federal or state law</w:t>
      </w:r>
      <w:r>
        <w:rPr>
          <w:lang w:val="en-US" w:eastAsia="en-GB"/>
        </w:rPr>
        <w:t>, a U.S. branch or agency office of a non-U.S. bank (any such bank, branch, or agency office, a “</w:t>
      </w:r>
      <w:r w:rsidRPr="009F5DB8">
        <w:rPr>
          <w:b/>
          <w:lang w:val="en-US" w:eastAsia="en-GB"/>
        </w:rPr>
        <w:t>U.S. bank</w:t>
      </w:r>
      <w:r>
        <w:rPr>
          <w:b/>
          <w:lang w:val="en-US" w:eastAsia="en-GB"/>
        </w:rPr>
        <w:t>ing organization</w:t>
      </w:r>
      <w:r>
        <w:rPr>
          <w:lang w:val="en-US" w:eastAsia="en-GB"/>
        </w:rPr>
        <w:t>”)</w:t>
      </w:r>
      <w:r w:rsidRPr="00D65DA3">
        <w:rPr>
          <w:lang w:val="en-US" w:eastAsia="en-GB"/>
        </w:rPr>
        <w:t xml:space="preserve">, </w:t>
      </w:r>
      <w:r>
        <w:rPr>
          <w:lang w:val="en-US" w:eastAsia="en-GB"/>
        </w:rPr>
        <w:t xml:space="preserve">a </w:t>
      </w:r>
      <w:r w:rsidRPr="00D65DA3">
        <w:rPr>
          <w:lang w:val="en-US" w:eastAsia="en-GB"/>
        </w:rPr>
        <w:t xml:space="preserve">U.S. </w:t>
      </w:r>
      <w:r>
        <w:rPr>
          <w:lang w:val="en-US" w:eastAsia="en-GB"/>
        </w:rPr>
        <w:t>entity</w:t>
      </w:r>
      <w:r w:rsidRPr="00D65DA3">
        <w:rPr>
          <w:lang w:val="en-US" w:eastAsia="en-GB"/>
        </w:rPr>
        <w:t xml:space="preserve"> that </w:t>
      </w:r>
      <w:r>
        <w:rPr>
          <w:lang w:val="en-US" w:eastAsia="en-GB"/>
        </w:rPr>
        <w:t>is registered as a broker-dealer</w:t>
      </w:r>
      <w:r w:rsidRPr="00D65DA3">
        <w:rPr>
          <w:lang w:val="en-US" w:eastAsia="en-GB"/>
        </w:rPr>
        <w:t xml:space="preserve"> with the U.S. Securities and Exchange Commission (“</w:t>
      </w:r>
      <w:r>
        <w:rPr>
          <w:b/>
          <w:lang w:val="en-US" w:eastAsia="en-GB"/>
        </w:rPr>
        <w:t>broker-dealer</w:t>
      </w:r>
      <w:r w:rsidRPr="00D65DA3">
        <w:rPr>
          <w:lang w:val="en-US" w:eastAsia="en-GB"/>
        </w:rPr>
        <w:t xml:space="preserve">”), </w:t>
      </w:r>
      <w:r>
        <w:rPr>
          <w:lang w:val="en-US" w:eastAsia="en-GB"/>
        </w:rPr>
        <w:t>or a U.S. entity</w:t>
      </w:r>
      <w:r w:rsidRPr="00D65DA3">
        <w:rPr>
          <w:lang w:val="en-US" w:eastAsia="en-GB"/>
        </w:rPr>
        <w:t xml:space="preserve"> that </w:t>
      </w:r>
      <w:r>
        <w:rPr>
          <w:lang w:val="en-US" w:eastAsia="en-GB"/>
        </w:rPr>
        <w:t>is</w:t>
      </w:r>
      <w:r w:rsidRPr="00D65DA3">
        <w:rPr>
          <w:lang w:val="en-US" w:eastAsia="en-GB"/>
        </w:rPr>
        <w:t xml:space="preserve"> registered as </w:t>
      </w:r>
      <w:r>
        <w:rPr>
          <w:lang w:val="en-US" w:eastAsia="en-GB"/>
        </w:rPr>
        <w:t>a futures commission merc</w:t>
      </w:r>
      <w:r w:rsidRPr="009F5DB8">
        <w:rPr>
          <w:lang w:val="en-US" w:eastAsia="en-GB"/>
        </w:rPr>
        <w:t>hant with the Commodity Futures Trading Commission (“</w:t>
      </w:r>
      <w:r w:rsidRPr="009F5DB8">
        <w:rPr>
          <w:b/>
          <w:lang w:val="en-US" w:eastAsia="en-GB"/>
        </w:rPr>
        <w:t>FCM</w:t>
      </w:r>
      <w:r w:rsidRPr="009F5DB8">
        <w:rPr>
          <w:lang w:val="en-US" w:eastAsia="en-GB"/>
        </w:rPr>
        <w:t>”).</w:t>
      </w:r>
      <w:r>
        <w:rPr>
          <w:lang w:val="en-US" w:eastAsia="en-GB"/>
        </w:rPr>
        <w:t xml:space="preserve"> </w:t>
      </w:r>
      <w:r w:rsidRPr="009F5DB8">
        <w:rPr>
          <w:lang w:val="en-US" w:eastAsia="en-GB"/>
        </w:rPr>
        <w:t>A single U.S. entity can operate,</w:t>
      </w:r>
      <w:r>
        <w:rPr>
          <w:lang w:val="en-US" w:eastAsia="en-GB"/>
        </w:rPr>
        <w:t xml:space="preserve"> and be regulated, as both a broker-dealer and an FCM, but it remains subject to separate regulatory requirements with respect to its separate activities.</w:t>
      </w:r>
    </w:p>
    <w:p w:rsidR="00D72BF2" w:rsidRDefault="00D72BF2" w:rsidP="00D72BF2">
      <w:pPr>
        <w:rPr>
          <w:lang w:val="en-US" w:eastAsia="en-GB"/>
        </w:rPr>
      </w:pPr>
      <w:r w:rsidRPr="00D65DA3">
        <w:rPr>
          <w:lang w:val="en-US" w:eastAsia="en-GB"/>
        </w:rPr>
        <w:t>U.S. law draws a distinction between financial instruments delivered to a broker-dealer or FCM and treated as customer assets</w:t>
      </w:r>
      <w:r>
        <w:rPr>
          <w:lang w:val="en-US" w:eastAsia="en-GB"/>
        </w:rPr>
        <w:t xml:space="preserve"> </w:t>
      </w:r>
      <w:r w:rsidRPr="00D65DA3">
        <w:rPr>
          <w:lang w:val="en-US" w:eastAsia="en-GB"/>
        </w:rPr>
        <w:t>(“</w:t>
      </w:r>
      <w:r w:rsidRPr="00D65DA3">
        <w:rPr>
          <w:b/>
          <w:lang w:val="en-US" w:eastAsia="en-GB"/>
        </w:rPr>
        <w:t>Customer Asset</w:t>
      </w:r>
      <w:r>
        <w:rPr>
          <w:b/>
          <w:lang w:val="en-US" w:eastAsia="en-GB"/>
        </w:rPr>
        <w:t>s</w:t>
      </w:r>
      <w:r w:rsidRPr="00D65DA3">
        <w:rPr>
          <w:lang w:val="en-US" w:eastAsia="en-GB"/>
        </w:rPr>
        <w:t>”)</w:t>
      </w:r>
      <w:r>
        <w:rPr>
          <w:lang w:val="en-US" w:eastAsia="en-GB"/>
        </w:rPr>
        <w:t>, financial instruments held by a U.S. banking organization in a trust or custodial capacity (“</w:t>
      </w:r>
      <w:r w:rsidRPr="0092487E">
        <w:rPr>
          <w:b/>
          <w:lang w:val="en-US" w:eastAsia="en-GB"/>
        </w:rPr>
        <w:t>Custodial Assets</w:t>
      </w:r>
      <w:r>
        <w:rPr>
          <w:lang w:val="en-US" w:eastAsia="en-GB"/>
        </w:rPr>
        <w:t xml:space="preserve">”), </w:t>
      </w:r>
      <w:r w:rsidRPr="00D65DA3">
        <w:rPr>
          <w:lang w:val="en-US" w:eastAsia="en-GB"/>
        </w:rPr>
        <w:t xml:space="preserve">and financial instruments delivered or pledged to a </w:t>
      </w:r>
      <w:r>
        <w:rPr>
          <w:lang w:val="en-US" w:eastAsia="en-GB"/>
        </w:rPr>
        <w:t xml:space="preserve">U.S. </w:t>
      </w:r>
      <w:r w:rsidRPr="00D65DA3">
        <w:rPr>
          <w:lang w:val="en-US" w:eastAsia="en-GB"/>
        </w:rPr>
        <w:t>bank</w:t>
      </w:r>
      <w:r>
        <w:rPr>
          <w:lang w:val="en-US" w:eastAsia="en-GB"/>
        </w:rPr>
        <w:t>ing organization</w:t>
      </w:r>
      <w:r w:rsidRPr="00D65DA3">
        <w:rPr>
          <w:lang w:val="en-US" w:eastAsia="en-GB"/>
        </w:rPr>
        <w:t>, broker-dealer, or FCM in a principal (non-customer) capacity (“</w:t>
      </w:r>
      <w:r w:rsidRPr="00D65DA3">
        <w:rPr>
          <w:b/>
          <w:lang w:val="en-US" w:eastAsia="en-GB"/>
        </w:rPr>
        <w:t>Non-Customer Asset</w:t>
      </w:r>
      <w:r>
        <w:rPr>
          <w:b/>
          <w:lang w:val="en-US" w:eastAsia="en-GB"/>
        </w:rPr>
        <w:t>s</w:t>
      </w:r>
      <w:r w:rsidRPr="00D65DA3">
        <w:rPr>
          <w:lang w:val="en-US" w:eastAsia="en-GB"/>
        </w:rPr>
        <w:t>”).</w:t>
      </w:r>
      <w:r>
        <w:rPr>
          <w:lang w:val="en-US" w:eastAsia="en-GB"/>
        </w:rPr>
        <w:t xml:space="preserve"> </w:t>
      </w:r>
      <w:r w:rsidRPr="00D65DA3">
        <w:rPr>
          <w:lang w:val="en-US" w:eastAsia="en-GB"/>
        </w:rPr>
        <w:t>Customer Asset</w:t>
      </w:r>
      <w:r>
        <w:rPr>
          <w:lang w:val="en-US" w:eastAsia="en-GB"/>
        </w:rPr>
        <w:t xml:space="preserve">s held by a broker-dealer or FCM </w:t>
      </w:r>
      <w:r w:rsidRPr="00D65DA3">
        <w:rPr>
          <w:lang w:val="en-US" w:eastAsia="en-GB"/>
        </w:rPr>
        <w:t xml:space="preserve">are subject to mandatory segregation requirements </w:t>
      </w:r>
      <w:r>
        <w:rPr>
          <w:lang w:val="en-US" w:eastAsia="en-GB"/>
        </w:rPr>
        <w:t>under the rules of the SEC and CFTC, respectively, and</w:t>
      </w:r>
      <w:r w:rsidRPr="00D65DA3">
        <w:rPr>
          <w:lang w:val="en-US" w:eastAsia="en-GB"/>
        </w:rPr>
        <w:t xml:space="preserve"> special-purpose insolvency regime</w:t>
      </w:r>
      <w:r>
        <w:rPr>
          <w:lang w:val="en-US" w:eastAsia="en-GB"/>
        </w:rPr>
        <w:t>s</w:t>
      </w:r>
      <w:r w:rsidRPr="00D65DA3">
        <w:rPr>
          <w:lang w:val="en-US" w:eastAsia="en-GB"/>
        </w:rPr>
        <w:t xml:space="preserve"> under which </w:t>
      </w:r>
      <w:r w:rsidRPr="00FC7AF1">
        <w:rPr>
          <w:lang w:val="en-US" w:eastAsia="en-GB"/>
        </w:rPr>
        <w:t>segregated assets</w:t>
      </w:r>
      <w:r>
        <w:rPr>
          <w:lang w:val="en-US" w:eastAsia="en-GB"/>
        </w:rPr>
        <w:t xml:space="preserve">, </w:t>
      </w:r>
      <w:r>
        <w:rPr>
          <w:i/>
          <w:lang w:val="en-US" w:eastAsia="en-GB"/>
        </w:rPr>
        <w:t>i.e.</w:t>
      </w:r>
      <w:r>
        <w:rPr>
          <w:lang w:val="en-US" w:eastAsia="en-GB"/>
        </w:rPr>
        <w:t>, Customer Assets and cash required to be held in segregated accounts,</w:t>
      </w:r>
      <w:r w:rsidRPr="00FC7AF1">
        <w:rPr>
          <w:lang w:val="en-US" w:eastAsia="en-GB"/>
        </w:rPr>
        <w:t xml:space="preserve"> are distributed to customers. Custodial Assets held by a U.S. banking organization are generally segregated on an account- or customer-specific basis, while in som</w:t>
      </w:r>
      <w:r>
        <w:rPr>
          <w:lang w:val="en-US" w:eastAsia="en-GB"/>
        </w:rPr>
        <w:t>e circumstances broker-dealers and FCMs are permitted to segregate Customer Assets on an omnibus basis for all customers.</w:t>
      </w:r>
    </w:p>
    <w:p w:rsidR="00D72BF2" w:rsidRPr="00F40C0F" w:rsidRDefault="00D72BF2" w:rsidP="00D72BF2">
      <w:r>
        <w:t xml:space="preserve">Financial instruments held in a securities account at a broker-dealer or delivered to an FCM as margin (or “performance bond”) for a cleared derivative generally constitute Customer Assets. </w:t>
      </w:r>
      <w:r w:rsidRPr="00EE4EAB">
        <w:t>On the other hand, securities delivered to us under a repurchase or securities lending agreement generally do not constitute Customer Assets.</w:t>
      </w:r>
      <w:r>
        <w:t xml:space="preserve"> If, with respect to Customer Assets received by us as a broker-dealer, you separately agree to lend financial instruments to us under a securities lending agreement, or agree to sell financial instruments to us under a repurchase agreement, then the financial instruments are removed from your account and are no longer eligible for customer protection. Any financial instruments delivered to us under such transactions are Non-Customer Assets. </w:t>
      </w:r>
      <w:r w:rsidRPr="003353BB">
        <w:rPr>
          <w:b/>
          <w:i/>
        </w:rPr>
        <w:t>If you are uncertain whether a financial instrument pledged or delivered to us is a Customer Asset, please obtain legal advice.</w:t>
      </w:r>
    </w:p>
    <w:p w:rsidR="00D72BF2" w:rsidRPr="004B3E03" w:rsidRDefault="00D72BF2" w:rsidP="00D72BF2">
      <w:pPr>
        <w:rPr>
          <w:lang w:val="en-US" w:eastAsia="en-GB"/>
        </w:rPr>
      </w:pPr>
      <w:r w:rsidRPr="004B3E03">
        <w:rPr>
          <w:lang w:val="en-US" w:eastAsia="en-GB"/>
        </w:rPr>
        <w:t>With respect to Customer Assets received by us as an FCM in connection with your CFTC-regulated transactions, we generally cannot use such Customer Assets other than to margin, guarante</w:t>
      </w:r>
      <w:r>
        <w:rPr>
          <w:lang w:val="en-US" w:eastAsia="en-GB"/>
        </w:rPr>
        <w:t>e or secure those transactions.</w:t>
      </w:r>
      <w:r w:rsidRPr="004B3E03">
        <w:rPr>
          <w:lang w:val="en-US" w:eastAsia="en-GB"/>
        </w:rPr>
        <w:t xml:space="preserve"> That is, we may transfer such assets to segregated or secured accounts established by </w:t>
      </w:r>
      <w:r>
        <w:rPr>
          <w:lang w:val="en-US" w:eastAsia="en-GB"/>
        </w:rPr>
        <w:t xml:space="preserve">us </w:t>
      </w:r>
      <w:r w:rsidRPr="004B3E03">
        <w:rPr>
          <w:lang w:val="en-US" w:eastAsia="en-GB"/>
        </w:rPr>
        <w:t xml:space="preserve">with banks, clearing houses and clearing brokers, </w:t>
      </w:r>
      <w:r>
        <w:rPr>
          <w:lang w:val="en-US" w:eastAsia="en-GB"/>
        </w:rPr>
        <w:t xml:space="preserve">which </w:t>
      </w:r>
      <w:r w:rsidRPr="004B3E03">
        <w:rPr>
          <w:lang w:val="en-US" w:eastAsia="en-GB"/>
        </w:rPr>
        <w:t>acknowledge, via rules or written agreements, that such Customer Assets are the property of the FCM’s customers and can be utilized solely to margin, guarantee or secur</w:t>
      </w:r>
      <w:r>
        <w:rPr>
          <w:lang w:val="en-US" w:eastAsia="en-GB"/>
        </w:rPr>
        <w:t>e customer transactions.</w:t>
      </w:r>
      <w:r w:rsidRPr="004B3E03">
        <w:rPr>
          <w:lang w:val="en-US" w:eastAsia="en-GB"/>
        </w:rPr>
        <w:t xml:space="preserve"> In addition, an FCM may</w:t>
      </w:r>
      <w:r>
        <w:rPr>
          <w:lang w:val="en-US" w:eastAsia="en-GB"/>
        </w:rPr>
        <w:t>, pursuant to repurchase agreements, substitute</w:t>
      </w:r>
      <w:r w:rsidRPr="004B3E03">
        <w:rPr>
          <w:lang w:val="en-US" w:eastAsia="en-GB"/>
        </w:rPr>
        <w:t xml:space="preserve"> </w:t>
      </w:r>
      <w:r>
        <w:rPr>
          <w:lang w:val="en-US" w:eastAsia="en-GB"/>
        </w:rPr>
        <w:t xml:space="preserve">such segregated Customer Assets, </w:t>
      </w:r>
      <w:r w:rsidRPr="004B3E03">
        <w:rPr>
          <w:lang w:val="en-US" w:eastAsia="en-GB"/>
        </w:rPr>
        <w:t xml:space="preserve">subject to very strict CFTC </w:t>
      </w:r>
      <w:r>
        <w:rPr>
          <w:lang w:val="en-US" w:eastAsia="en-GB"/>
        </w:rPr>
        <w:t>r</w:t>
      </w:r>
      <w:r w:rsidRPr="004B3E03">
        <w:rPr>
          <w:lang w:val="en-US" w:eastAsia="en-GB"/>
        </w:rPr>
        <w:t xml:space="preserve">egulations, </w:t>
      </w:r>
      <w:r>
        <w:rPr>
          <w:lang w:val="en-US" w:eastAsia="en-GB"/>
        </w:rPr>
        <w:t>including the requirement that such s</w:t>
      </w:r>
      <w:r w:rsidRPr="00431AD6">
        <w:rPr>
          <w:lang w:val="en-US" w:eastAsia="en-GB"/>
        </w:rPr>
        <w:t>ubstitution is made on a “deli</w:t>
      </w:r>
      <w:r>
        <w:rPr>
          <w:lang w:val="en-US" w:eastAsia="en-GB"/>
        </w:rPr>
        <w:t>very versus delivery” basis, and t</w:t>
      </w:r>
      <w:r w:rsidRPr="00431AD6">
        <w:rPr>
          <w:lang w:val="en-US" w:eastAsia="en-GB"/>
        </w:rPr>
        <w:t xml:space="preserve">he market value of the substituted securities is at least equal to that of the </w:t>
      </w:r>
      <w:r>
        <w:rPr>
          <w:lang w:val="en-US" w:eastAsia="en-GB"/>
        </w:rPr>
        <w:t>Customer Assets being substituted</w:t>
      </w:r>
      <w:r w:rsidRPr="00431AD6">
        <w:rPr>
          <w:lang w:val="en-US" w:eastAsia="en-GB"/>
        </w:rPr>
        <w:t>.</w:t>
      </w:r>
      <w:r>
        <w:rPr>
          <w:lang w:val="en-US" w:eastAsia="en-GB"/>
        </w:rPr>
        <w:t xml:space="preserve">  T</w:t>
      </w:r>
      <w:r w:rsidRPr="004B3E03">
        <w:rPr>
          <w:lang w:val="en-US" w:eastAsia="en-GB"/>
        </w:rPr>
        <w:t xml:space="preserve">o the extent segregated </w:t>
      </w:r>
      <w:r>
        <w:rPr>
          <w:lang w:val="en-US" w:eastAsia="en-GB"/>
        </w:rPr>
        <w:t>assets</w:t>
      </w:r>
      <w:r w:rsidRPr="004B3E03">
        <w:rPr>
          <w:lang w:val="en-US" w:eastAsia="en-GB"/>
        </w:rPr>
        <w:t xml:space="preserve"> were </w:t>
      </w:r>
      <w:r>
        <w:rPr>
          <w:lang w:val="en-US" w:eastAsia="en-GB"/>
        </w:rPr>
        <w:t xml:space="preserve">found </w:t>
      </w:r>
      <w:r w:rsidRPr="004B3E03">
        <w:rPr>
          <w:lang w:val="en-US" w:eastAsia="en-GB"/>
        </w:rPr>
        <w:t>to be insufficient to satisfy customer claims in full, customers would continue to have a claim against the proprietary assets of the FCM.</w:t>
      </w:r>
    </w:p>
    <w:p w:rsidR="00D72BF2" w:rsidRDefault="00D72BF2" w:rsidP="00D72BF2">
      <w:pPr>
        <w:rPr>
          <w:lang w:val="en-US" w:eastAsia="en-GB"/>
        </w:rPr>
      </w:pPr>
      <w:r w:rsidRPr="004B3E03">
        <w:rPr>
          <w:lang w:val="en-US" w:eastAsia="en-GB"/>
        </w:rPr>
        <w:t>With respect to Customer Assets received by us as a broker-dealer in connection with your SEC-regulated transactions, we generally can use such Customer Assets only with your consent and subject to regulatory usage limits that are imposed both at the account level (by reference to the amount of your obligations to us) and across all customers (by reference to the amount of all customer obligations to us)</w:t>
      </w:r>
      <w:r>
        <w:rPr>
          <w:lang w:val="en-US" w:eastAsia="en-GB"/>
        </w:rPr>
        <w:t>.</w:t>
      </w:r>
      <w:r w:rsidRPr="004B3E03">
        <w:rPr>
          <w:lang w:val="en-US" w:eastAsia="en-GB"/>
        </w:rPr>
        <w:t xml:space="preserve"> The SEC requires that broker-dealers </w:t>
      </w:r>
      <w:r>
        <w:rPr>
          <w:lang w:val="en-US" w:eastAsia="en-GB"/>
        </w:rPr>
        <w:t>perform</w:t>
      </w:r>
      <w:r w:rsidRPr="004B3E03">
        <w:rPr>
          <w:lang w:val="en-US" w:eastAsia="en-GB"/>
        </w:rPr>
        <w:t xml:space="preserve"> a daily valuation of Customer Assets (including related customer obligations) and maintain in segregation either Customer Assets or cash or other high-grade assets such that the value of segregated assets will at all times exceed the</w:t>
      </w:r>
      <w:r>
        <w:rPr>
          <w:lang w:val="en-US" w:eastAsia="en-GB"/>
        </w:rPr>
        <w:t xml:space="preserve"> value of all Customer Assets net of customer obligations to the broker-dealer. </w:t>
      </w:r>
      <w:r w:rsidRPr="004B3E03">
        <w:rPr>
          <w:lang w:val="en-US" w:eastAsia="en-GB"/>
        </w:rPr>
        <w:t xml:space="preserve">Further, to the extent segregated </w:t>
      </w:r>
      <w:r>
        <w:rPr>
          <w:lang w:val="en-US" w:eastAsia="en-GB"/>
        </w:rPr>
        <w:t>assets</w:t>
      </w:r>
      <w:r w:rsidRPr="004B3E03">
        <w:rPr>
          <w:lang w:val="en-US" w:eastAsia="en-GB"/>
        </w:rPr>
        <w:t xml:space="preserve"> were to be insufficient to satisfy customer claims in full, customers would continue to have a claim against the proprietary assets of the broker-dealer.</w:t>
      </w:r>
    </w:p>
    <w:p w:rsidR="00D72BF2" w:rsidRDefault="00D72BF2" w:rsidP="00D72BF2">
      <w:pPr>
        <w:rPr>
          <w:lang w:val="en-US" w:eastAsia="en-GB"/>
        </w:rPr>
      </w:pPr>
      <w:r w:rsidRPr="00D65DA3">
        <w:rPr>
          <w:lang w:val="en-US" w:eastAsia="en-GB"/>
        </w:rPr>
        <w:t>Notwithstanding point (b) of paragraph 2 of Article 15</w:t>
      </w:r>
      <w:r>
        <w:rPr>
          <w:lang w:val="en-US" w:eastAsia="en-GB"/>
        </w:rPr>
        <w:t xml:space="preserve"> of the Securities Financing Transactions Regulation</w:t>
      </w:r>
      <w:r w:rsidRPr="00D65DA3">
        <w:rPr>
          <w:lang w:val="en-US" w:eastAsia="en-GB"/>
        </w:rPr>
        <w:t xml:space="preserve">, when </w:t>
      </w:r>
      <w:r>
        <w:rPr>
          <w:lang w:val="en-US" w:eastAsia="en-GB"/>
        </w:rPr>
        <w:t>we use your</w:t>
      </w:r>
      <w:r w:rsidRPr="00D65DA3">
        <w:rPr>
          <w:lang w:val="en-US" w:eastAsia="en-GB"/>
        </w:rPr>
        <w:t xml:space="preserve"> </w:t>
      </w:r>
      <w:r>
        <w:rPr>
          <w:lang w:val="en-US" w:eastAsia="en-GB"/>
        </w:rPr>
        <w:t>Customer Assets, they continue to be included on</w:t>
      </w:r>
      <w:r w:rsidRPr="00D65DA3">
        <w:rPr>
          <w:lang w:val="en-US" w:eastAsia="en-GB"/>
        </w:rPr>
        <w:t xml:space="preserve"> your account</w:t>
      </w:r>
      <w:r>
        <w:rPr>
          <w:lang w:val="en-US" w:eastAsia="en-GB"/>
        </w:rPr>
        <w:t xml:space="preserve"> statement reflecting their status as Customer Assets</w:t>
      </w:r>
      <w:r w:rsidRPr="00D65DA3">
        <w:rPr>
          <w:lang w:val="en-US" w:eastAsia="en-GB"/>
        </w:rPr>
        <w:t xml:space="preserve">, and we may not identify </w:t>
      </w:r>
      <w:r>
        <w:rPr>
          <w:lang w:val="en-US" w:eastAsia="en-GB"/>
        </w:rPr>
        <w:t xml:space="preserve">to you </w:t>
      </w:r>
      <w:r w:rsidRPr="00D65DA3">
        <w:rPr>
          <w:lang w:val="en-US" w:eastAsia="en-GB"/>
        </w:rPr>
        <w:t>the financial instruments that we have used.</w:t>
      </w:r>
    </w:p>
    <w:p w:rsidR="00D72BF2" w:rsidRDefault="00D72BF2" w:rsidP="00D72BF2">
      <w:pPr>
        <w:rPr>
          <w:lang w:val="en-US" w:eastAsia="en-GB"/>
        </w:rPr>
      </w:pPr>
      <w:r>
        <w:rPr>
          <w:lang w:val="en-US" w:eastAsia="en-GB"/>
        </w:rPr>
        <w:t xml:space="preserve">If we are a broker-dealer or FCM, our exercise of our right to use Customer Assets has no effect on the nature of your property interest in the financial instruments or on </w:t>
      </w:r>
      <w:r w:rsidRPr="00D65DA3">
        <w:rPr>
          <w:lang w:val="en-US" w:eastAsia="en-GB"/>
        </w:rPr>
        <w:t>your rights as a customer</w:t>
      </w:r>
      <w:r>
        <w:rPr>
          <w:lang w:val="en-US" w:eastAsia="en-GB"/>
        </w:rPr>
        <w:t xml:space="preserve"> in the event of our insolvency. </w:t>
      </w:r>
      <w:r w:rsidRPr="00D65DA3">
        <w:rPr>
          <w:lang w:val="en-US" w:eastAsia="en-GB"/>
        </w:rPr>
        <w:t>The amount of your customer claim</w:t>
      </w:r>
      <w:r>
        <w:rPr>
          <w:lang w:val="en-US" w:eastAsia="en-GB"/>
        </w:rPr>
        <w:t xml:space="preserve"> in a broker-dealer or FCM insolvency proceeding</w:t>
      </w:r>
      <w:r w:rsidRPr="00D65DA3">
        <w:rPr>
          <w:lang w:val="en-US" w:eastAsia="en-GB"/>
        </w:rPr>
        <w:t xml:space="preserve"> </w:t>
      </w:r>
      <w:r>
        <w:rPr>
          <w:lang w:val="en-US" w:eastAsia="en-GB"/>
        </w:rPr>
        <w:t>is a function of</w:t>
      </w:r>
      <w:r w:rsidRPr="00D65DA3">
        <w:rPr>
          <w:lang w:val="en-US" w:eastAsia="en-GB"/>
        </w:rPr>
        <w:t xml:space="preserve"> the value of assets held in your account and the amount of your obligations to us, if any.</w:t>
      </w:r>
      <w:r>
        <w:rPr>
          <w:lang w:val="en-US" w:eastAsia="en-GB"/>
        </w:rPr>
        <w:t xml:space="preserve"> In a broker-dealer or FCM insolvency proceeding, all c</w:t>
      </w:r>
      <w:r w:rsidRPr="00D65DA3">
        <w:rPr>
          <w:lang w:val="en-US" w:eastAsia="en-GB"/>
        </w:rPr>
        <w:t>ustomers generally receive the same pro rata share of their claims</w:t>
      </w:r>
      <w:r>
        <w:rPr>
          <w:lang w:val="en-US" w:eastAsia="en-GB"/>
        </w:rPr>
        <w:t xml:space="preserve"> based on Customer Assets (and customer cash)</w:t>
      </w:r>
      <w:r w:rsidRPr="00D65DA3">
        <w:rPr>
          <w:lang w:val="en-US" w:eastAsia="en-GB"/>
        </w:rPr>
        <w:t>, regardless of whether their financial instruments were subject to use</w:t>
      </w:r>
      <w:r>
        <w:rPr>
          <w:lang w:val="en-US" w:eastAsia="en-GB"/>
        </w:rPr>
        <w:t xml:space="preserve"> or were used by the broker-dealer or FCM</w:t>
      </w:r>
      <w:r w:rsidRPr="00D65DA3">
        <w:rPr>
          <w:lang w:val="en-US" w:eastAsia="en-GB"/>
        </w:rPr>
        <w:t>.</w:t>
      </w:r>
      <w:r>
        <w:rPr>
          <w:lang w:val="en-US" w:eastAsia="en-GB"/>
        </w:rPr>
        <w:t xml:space="preserve"> </w:t>
      </w:r>
      <w:r w:rsidRPr="00D65DA3">
        <w:rPr>
          <w:lang w:val="en-US" w:eastAsia="en-GB"/>
        </w:rPr>
        <w:t>(In</w:t>
      </w:r>
      <w:r>
        <w:rPr>
          <w:lang w:val="en-US" w:eastAsia="en-GB"/>
        </w:rPr>
        <w:t xml:space="preserve"> the case of an FCM insolvency</w:t>
      </w:r>
      <w:r w:rsidRPr="00D65DA3">
        <w:rPr>
          <w:lang w:val="en-US" w:eastAsia="en-GB"/>
        </w:rPr>
        <w:t>, customers are separated into several account classes</w:t>
      </w:r>
      <w:r>
        <w:rPr>
          <w:lang w:val="en-US" w:eastAsia="en-GB"/>
        </w:rPr>
        <w:t xml:space="preserve"> based on product type</w:t>
      </w:r>
      <w:r w:rsidRPr="00D65DA3">
        <w:rPr>
          <w:lang w:val="en-US" w:eastAsia="en-GB"/>
        </w:rPr>
        <w:t xml:space="preserve">, and </w:t>
      </w:r>
      <w:r>
        <w:rPr>
          <w:lang w:val="en-US" w:eastAsia="en-GB"/>
        </w:rPr>
        <w:t>recoveries may vary across account classes. C</w:t>
      </w:r>
      <w:r w:rsidRPr="00D65DA3">
        <w:rPr>
          <w:lang w:val="en-US" w:eastAsia="en-GB"/>
        </w:rPr>
        <w:t>ustomers with</w:t>
      </w:r>
      <w:r>
        <w:rPr>
          <w:lang w:val="en-US" w:eastAsia="en-GB"/>
        </w:rPr>
        <w:t>in the same</w:t>
      </w:r>
      <w:r w:rsidRPr="00D65DA3">
        <w:rPr>
          <w:lang w:val="en-US" w:eastAsia="en-GB"/>
        </w:rPr>
        <w:t xml:space="preserve"> account class receive the same pro rata share of </w:t>
      </w:r>
      <w:r>
        <w:rPr>
          <w:lang w:val="en-US" w:eastAsia="en-GB"/>
        </w:rPr>
        <w:t>all</w:t>
      </w:r>
      <w:r w:rsidRPr="00D65DA3">
        <w:rPr>
          <w:lang w:val="en-US" w:eastAsia="en-GB"/>
        </w:rPr>
        <w:t xml:space="preserve"> customer claims</w:t>
      </w:r>
      <w:r>
        <w:rPr>
          <w:lang w:val="en-US" w:eastAsia="en-GB"/>
        </w:rPr>
        <w:t xml:space="preserve"> within that class</w:t>
      </w:r>
      <w:r w:rsidRPr="00D65DA3">
        <w:rPr>
          <w:lang w:val="en-US" w:eastAsia="en-GB"/>
        </w:rPr>
        <w:t>.)</w:t>
      </w:r>
    </w:p>
    <w:p w:rsidR="00D72BF2" w:rsidRDefault="00D72BF2" w:rsidP="00D72BF2">
      <w:pPr>
        <w:rPr>
          <w:lang w:val="en-US" w:eastAsia="en-GB"/>
        </w:rPr>
      </w:pPr>
      <w:r>
        <w:rPr>
          <w:lang w:val="en-US" w:eastAsia="en-GB"/>
        </w:rPr>
        <w:t>In the insolvency of a U.S. banking organization, Custodial Assets are generally returned to their owners to the extent such assets are available for distribution. Your consent to our use of your financial instruments may prevent them from being treated as Custodial Assets, and it may jeopardize your right to obtain their return in the event of our insolvency.</w:t>
      </w:r>
    </w:p>
    <w:p w:rsidR="00D72BF2" w:rsidRDefault="00D72BF2" w:rsidP="00D72BF2">
      <w:pPr>
        <w:rPr>
          <w:lang w:eastAsia="en-GB"/>
        </w:rPr>
      </w:pPr>
      <w:r>
        <w:rPr>
          <w:lang w:val="en-US" w:eastAsia="en-GB"/>
        </w:rPr>
        <w:t>Collateral Arrangements with respect to Non-Customer Assets can take a variety of forms with differing legal characterizations and practical consequences. Generally, a title transfer collateral arrangement entitles you only to a creditor claim for the return of your financial instruments. Under a security collateral arrangement, in some cases you may retain a property interest in the financial instruments delivered to us as collateral, but your property right (if any) may be subject to superior rights of our creditors or of a party to which we have transferred the financial instruments. Additionally, in the event of our insolvency, you may lose your property interest if you are unable to identify your property as distinct from our other assets, and our use of your financial instruments may impair your ability to do so.</w:t>
      </w:r>
    </w:p>
    <w:p w:rsidR="00D72BF2" w:rsidRDefault="00D72BF2" w:rsidP="00D72BF2">
      <w:pPr>
        <w:rPr>
          <w:lang w:eastAsia="en-GB"/>
        </w:rPr>
      </w:pPr>
      <w:r>
        <w:rPr>
          <w:lang w:val="en-US" w:eastAsia="en-GB"/>
        </w:rPr>
        <w:t>This Appendix is not intended to provide a complete description of the treatment of Collateral Arrangements under U.S. law or the U.S. customer protection system, and you should not rely on it for that purpose.</w:t>
      </w:r>
    </w:p>
    <w:p w:rsidR="00D72BF2" w:rsidRDefault="00D72BF2" w:rsidP="00D72BF2">
      <w:pPr>
        <w:rPr>
          <w:lang w:eastAsia="en-GB"/>
        </w:rPr>
      </w:pPr>
      <w:r>
        <w:rPr>
          <w:lang w:eastAsia="en-GB"/>
        </w:rPr>
        <w:t xml:space="preserve">If we are a U.S. broker-dealer, U.S. FCM, or U.S. banking organization, Sections 2(a)(i) through (v) of the Information Statement do not apply. Instead, </w:t>
      </w:r>
      <w:r>
        <w:t xml:space="preserve">where </w:t>
      </w:r>
      <w:r w:rsidRPr="00787365">
        <w:t xml:space="preserve">you provide financial instruments to us under a title transfer collateral arrangement </w:t>
      </w:r>
      <w:r>
        <w:t>or</w:t>
      </w:r>
      <w:r w:rsidRPr="00787365">
        <w:t xml:space="preserve"> if we exercise a right of use in relation to any financial instruments that you have provided to us by way of collateral under a security collateral arrangement</w:t>
      </w:r>
      <w:r>
        <w:t xml:space="preserve"> containing a right of use, we draw your attention to the following Re-use Risks and Consequences</w:t>
      </w:r>
      <w:r w:rsidRPr="00787365">
        <w:t>:</w:t>
      </w:r>
      <w:r>
        <w:rPr>
          <w:lang w:eastAsia="en-GB"/>
        </w:rPr>
        <w:t xml:space="preserve"> </w:t>
      </w:r>
    </w:p>
    <w:p w:rsidR="00D72BF2" w:rsidRDefault="00D72BF2" w:rsidP="00D72BF2">
      <w:pPr>
        <w:pStyle w:val="Heading1"/>
      </w:pPr>
      <w:r>
        <w:t>Risks in Connection with Financial Instruments That Are Customer Assets</w:t>
      </w:r>
    </w:p>
    <w:p w:rsidR="00D72BF2" w:rsidRDefault="00D72BF2" w:rsidP="00D72BF2">
      <w:pPr>
        <w:pStyle w:val="BodyText"/>
      </w:pPr>
      <w:r>
        <w:t>If we are a U.S. broker-dealer or FCM and your financial instruments are Customer Assets, then we are permitted to use your financial instruments (i) to post as margin in respect of CFTC-regulated products with a clearing organization or other intermediary, and (ii) as otherwise permitted within the limits imposed by U.S. customer protection rules. When we use your Customer Assets, we may not hold them in segregation or trust, depending on the applicable U.S. regulation, but we continue to report them on your account statement reflecting their status as Customer Assets. As a result of our use of your Customer Assets, those assets are subject to the Re-use Risks and Consequences listed in Sections 2(a)(vi) through (x) of the Information Statement.  In addition, if we provide you with clearing services (whether directly as a clearing member or otherwise), Customer Assets are subject to the Re-use Risks and Consequences listed in Section 2(b) of the Information Statement.</w:t>
      </w:r>
    </w:p>
    <w:p w:rsidR="00D72BF2" w:rsidRDefault="00D72BF2" w:rsidP="00D72BF2">
      <w:pPr>
        <w:pStyle w:val="BodyText"/>
      </w:pPr>
      <w:r>
        <w:t xml:space="preserve">Moreover, as a result of our use of those financial instruments (including, in some cases, your ceasing to have a proprietary interest in those financial instruments), or the failure of a third party to deliver to us financial instruments, you may not </w:t>
      </w:r>
      <w:r w:rsidRPr="009B2C77">
        <w:t>be entitled</w:t>
      </w:r>
      <w:r>
        <w:t xml:space="preserve"> to exercise any voting, consent or similar rights attached to the financial instruments, and even if we have agreed to exercise voting, consent or similar rights attached to any equivalent financial instruments in accordance with your instructions or the relevant Collateral Arrangement entitles you to notify us that the equivalent financial instruments to be delivered by us to you should reflect your instructions with respect to the subject matter of such vote, consent or exercise of rights, in the event that we do not hold and are not able to readily obtain equivalent financial instruments, we may not be able to comply </w:t>
      </w:r>
      <w:r w:rsidRPr="00031907">
        <w:t>(subject to any other solution that may have b</w:t>
      </w:r>
      <w:r>
        <w:t>een agreed between the parties).</w:t>
      </w:r>
    </w:p>
    <w:p w:rsidR="00D72BF2" w:rsidRDefault="00D72BF2" w:rsidP="00D72BF2">
      <w:pPr>
        <w:pStyle w:val="BodyText"/>
      </w:pPr>
      <w:r>
        <w:t xml:space="preserve">However, our right to use Customer Assets and our actual use of Customer Assets do not present any insolvency-related Re-use Risks and Consequences. This is because, as described above, in the event of our insolvency your claim for Customer Assets would be calculated according to a formula that does not take our use of assets into account. </w:t>
      </w:r>
    </w:p>
    <w:p w:rsidR="00D72BF2" w:rsidRDefault="00D72BF2" w:rsidP="00D72BF2">
      <w:pPr>
        <w:pStyle w:val="BodyText"/>
      </w:pPr>
      <w:r>
        <w:t>In</w:t>
      </w:r>
      <w:r w:rsidRPr="00DE161D">
        <w:t xml:space="preserve"> the event that a </w:t>
      </w:r>
      <w:r>
        <w:t>receiver, conservator or other insolvency official</w:t>
      </w:r>
      <w:r w:rsidRPr="00DE161D">
        <w:t xml:space="preserve"> exercises its power</w:t>
      </w:r>
      <w:r>
        <w:t xml:space="preserve">s under an insolvency </w:t>
      </w:r>
      <w:r w:rsidRPr="00DE161D">
        <w:t>regime in relation to us</w:t>
      </w:r>
      <w:r>
        <w:t xml:space="preserve">, any rights you may have to take any action against us, such as to terminate </w:t>
      </w:r>
      <w:r w:rsidRPr="004C0008">
        <w:t>our agreement,</w:t>
      </w:r>
      <w:r>
        <w:t xml:space="preserve"> may be subject to a stay by the relevant authority and a transfer of assets or liabilities may result in your claim on us, or our claim on you, being transferred to different entities. However, this risk exists regardless of whether we have used your financial </w:t>
      </w:r>
      <w:proofErr w:type="gramStart"/>
      <w:r>
        <w:t>instruments</w:t>
      </w:r>
      <w:proofErr w:type="gramEnd"/>
      <w:r>
        <w:t xml:space="preserve"> or you have consented to their use.</w:t>
      </w:r>
    </w:p>
    <w:p w:rsidR="00D72BF2" w:rsidRDefault="00D72BF2" w:rsidP="00D72BF2">
      <w:pPr>
        <w:pStyle w:val="Heading1"/>
      </w:pPr>
      <w:r>
        <w:t>Risks in Connection with Financial Instruments That Are Non-Customer Assets</w:t>
      </w:r>
    </w:p>
    <w:p w:rsidR="00D72BF2" w:rsidRDefault="00D72BF2" w:rsidP="00D72BF2">
      <w:pPr>
        <w:pStyle w:val="BodyText"/>
      </w:pPr>
      <w:r>
        <w:t>Non-Customer Assets are not protected by the U.S. customer protection rules that apply to Customer Assets. If we are a U.S. broker-dealer or FCM and your financial instruments are Non-Customer Assets, or we are a U.S. banking organization, and you have granted us a right to use your financial instruments, then we will not hold such financial instruments in segregation or trust. Y</w:t>
      </w:r>
      <w:r w:rsidRPr="0088739A">
        <w:t xml:space="preserve">our rights, including any proprietary rights that you may have had, in those financial instruments </w:t>
      </w:r>
      <w:r>
        <w:t>may</w:t>
      </w:r>
      <w:r w:rsidRPr="0088739A">
        <w:t xml:space="preserve"> be replaced by a contractual claim</w:t>
      </w:r>
      <w:r>
        <w:t xml:space="preserve"> (which would be unsecured unless otherwise agreed)</w:t>
      </w:r>
      <w:r w:rsidRPr="0088739A">
        <w:t xml:space="preserve"> for the delivery of equivalent financial instruments subject to the terms of the relevant Collateral Arrangement</w:t>
      </w:r>
      <w:r>
        <w:t>. As a result of our use of your Non-Customer Assets, those assets are subject to the Re-use Risks and Consequences listed in Sections 2(a)(vi) through (x) of the Information Statement.</w:t>
      </w:r>
    </w:p>
    <w:p w:rsidR="00D72BF2" w:rsidRDefault="00D72BF2" w:rsidP="00D72BF2">
      <w:pPr>
        <w:pStyle w:val="BodyText"/>
      </w:pPr>
      <w:r>
        <w:t xml:space="preserve">If we are a U.S. banking organization, as a result of your consent to our use of your financial instruments, those financial instruments may not be held by us in accordance with the rules that apply to Custodial Assets, and, if they had benefited from any protections as Custodial Assets, those protection rights may not apply (for example, the financial instruments will not be segregated from our assets and will not be held subject to a trust). </w:t>
      </w:r>
    </w:p>
    <w:p w:rsidR="00D72BF2" w:rsidRDefault="00D72BF2" w:rsidP="00D72BF2">
      <w:pPr>
        <w:pStyle w:val="BodyText"/>
      </w:pPr>
      <w:r>
        <w:t xml:space="preserve">Moreover, as a result of our use of financial instruments (including, in some cases, your ceasing to have a proprietary interest in those financial instruments), or the failure of a third party to deliver to us financial instruments, you may not </w:t>
      </w:r>
      <w:r w:rsidRPr="009B2C77">
        <w:t>be entitled</w:t>
      </w:r>
      <w:r>
        <w:t xml:space="preserve"> to exercise any voting, consent or similar rights attached to the financial instruments, and even if we have agreed to exercise voting, consent or similar rights attached to any equivalent financial instruments in accordance with your instructions or the relevant Collateral Arrangement entitles you to notify us that the equivalent financial instruments to be delivered by us to you should reflect your instructions with respect to the subject matter of such vote, consent or exercise of rights, in the event that we do not hold and are not able to readily obtain equivalent financial instruments, we may not be able to comply </w:t>
      </w:r>
      <w:r w:rsidRPr="00031907">
        <w:t>(subject to any other solution that may have b</w:t>
      </w:r>
      <w:r>
        <w:t>een agreed between the parties).</w:t>
      </w:r>
    </w:p>
    <w:p w:rsidR="00D72BF2" w:rsidRDefault="00D72BF2" w:rsidP="00D72BF2">
      <w:pPr>
        <w:pStyle w:val="BodyText"/>
      </w:pPr>
      <w:r w:rsidRPr="00427DF6">
        <w:t>In the event of our insolvency your rights in financial instruments that we have used may be replaced by a general claim (which would be unsecured unless otherwise agreed) against us for equivalent financial instruments or the value of those financial instruments, and you may not receive such equivalent financial instruments or recover the full value of the financial instruments (although your exposure may be reduced to the extent that we have provided collateral to you or you have liabilities to us which can be set off or netted against or discharged by reference to our obligation to deliver equivalent financial instruments to you). To the extent you retain a property interest in financial assets we have used, our use of the financial instruments may give other parties superior rights in them and may interfere with your ability to identify the financial instruments for the purpose of obtaining their return.</w:t>
      </w:r>
      <w:r>
        <w:t xml:space="preserve"> </w:t>
      </w:r>
    </w:p>
    <w:p w:rsidR="00D72BF2" w:rsidRPr="00D72BF2" w:rsidRDefault="00D72BF2" w:rsidP="00D9389E">
      <w:pPr>
        <w:pStyle w:val="BodyText"/>
        <w:rPr>
          <w:rFonts w:cs="Times New Roman"/>
        </w:rPr>
      </w:pPr>
      <w:r>
        <w:t>In</w:t>
      </w:r>
      <w:r w:rsidRPr="00DE161D">
        <w:t xml:space="preserve"> the event that a </w:t>
      </w:r>
      <w:r>
        <w:t>receiver, conservator or other insolvency official</w:t>
      </w:r>
      <w:r w:rsidRPr="00DE161D">
        <w:t xml:space="preserve"> exercises its power</w:t>
      </w:r>
      <w:r>
        <w:t xml:space="preserve">s under an insolvency </w:t>
      </w:r>
      <w:r w:rsidRPr="00DE161D">
        <w:t>regime in relation to us</w:t>
      </w:r>
      <w:r>
        <w:t xml:space="preserve">, any rights you may have to take any action against us, such as to terminate </w:t>
      </w:r>
      <w:r w:rsidRPr="004C0008">
        <w:t>our agreement,</w:t>
      </w:r>
      <w:r>
        <w:t xml:space="preserve"> may be subject to a stay by the relevant authority and a transfer of assets or liabilities may result in your claim on us, or our claim on you, being transferred to different entities. However, this risk exists regardless of whether we have used your financial </w:t>
      </w:r>
      <w:proofErr w:type="gramStart"/>
      <w:r>
        <w:t>instruments</w:t>
      </w:r>
      <w:proofErr w:type="gramEnd"/>
      <w:r>
        <w:t xml:space="preserve"> or you have consented to their use.</w:t>
      </w:r>
    </w:p>
    <w:sectPr w:rsidR="00D72BF2" w:rsidRPr="00D72BF2" w:rsidSect="00737DB8">
      <w:footerReference w:type="default" r:id="rId15"/>
      <w:headerReference w:type="first" r:id="rId16"/>
      <w:footerReference w:type="first" r:id="rId17"/>
      <w:pgSz w:w="11906" w:h="16838" w:code="9"/>
      <w:pgMar w:top="1440" w:right="1440" w:bottom="1985" w:left="1440" w:header="851"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CAHUAbABsAGUAdAAgADU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86B" w:rsidRDefault="004D786B" w:rsidP="006A68DF">
      <w:pPr>
        <w:spacing w:after="0" w:line="240" w:lineRule="auto"/>
      </w:pPr>
      <w:r>
        <w:separator/>
      </w:r>
    </w:p>
  </w:endnote>
  <w:endnote w:type="continuationSeparator" w:id="0">
    <w:p w:rsidR="004D786B" w:rsidRDefault="004D786B" w:rsidP="006A6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Simplified Arabic"/>
    <w:panose1 w:val="02020603050405020304"/>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3008"/>
      <w:gridCol w:w="3009"/>
      <w:gridCol w:w="3009"/>
    </w:tblGrid>
    <w:tr w:rsidR="00113FB4" w:rsidTr="0072483A">
      <w:sdt>
        <w:sdtPr>
          <w:tag w:val="CCDocID"/>
          <w:id w:val="-1444375700"/>
          <w:placeholder>
            <w:docPart w:val="127E44D10FBE41BF9CCCCEF011E15CC7"/>
          </w:placeholder>
          <w:text/>
        </w:sdtPr>
        <w:sdtEndPr/>
        <w:sdtContent>
          <w:tc>
            <w:tcPr>
              <w:tcW w:w="1666" w:type="pct"/>
            </w:tcPr>
            <w:p w:rsidR="00113FB4" w:rsidRDefault="00800232" w:rsidP="00B77ABD">
              <w:pPr>
                <w:pStyle w:val="Footer"/>
              </w:pPr>
              <w:r>
                <w:t>10201760189-v3</w:t>
              </w:r>
            </w:p>
          </w:tc>
        </w:sdtContent>
      </w:sdt>
      <w:tc>
        <w:tcPr>
          <w:tcW w:w="1667" w:type="pct"/>
        </w:tcPr>
        <w:p w:rsidR="00113FB4" w:rsidRPr="0072483A" w:rsidRDefault="00113FB4" w:rsidP="0072483A">
          <w:pPr>
            <w:pStyle w:val="Footer"/>
            <w:jc w:val="center"/>
            <w:rPr>
              <w:rStyle w:val="PageNumber"/>
            </w:rPr>
          </w:pPr>
          <w:r>
            <w:rPr>
              <w:rStyle w:val="PageNumber"/>
            </w:rPr>
            <w:t xml:space="preserve">- </w:t>
          </w:r>
          <w:r w:rsidR="004365C5">
            <w:rPr>
              <w:rStyle w:val="PageNumber"/>
            </w:rPr>
            <w:fldChar w:fldCharType="begin"/>
          </w:r>
          <w:r>
            <w:rPr>
              <w:rStyle w:val="PageNumber"/>
            </w:rPr>
            <w:instrText xml:space="preserve"> PAGE  \* MERGEFORMAT </w:instrText>
          </w:r>
          <w:r w:rsidR="004365C5">
            <w:rPr>
              <w:rStyle w:val="PageNumber"/>
            </w:rPr>
            <w:fldChar w:fldCharType="separate"/>
          </w:r>
          <w:r w:rsidR="0080410E">
            <w:rPr>
              <w:rStyle w:val="PageNumber"/>
              <w:noProof/>
            </w:rPr>
            <w:t>2</w:t>
          </w:r>
          <w:r w:rsidR="004365C5">
            <w:rPr>
              <w:rStyle w:val="PageNumber"/>
            </w:rPr>
            <w:fldChar w:fldCharType="end"/>
          </w:r>
          <w:r>
            <w:rPr>
              <w:rStyle w:val="PageNumber"/>
            </w:rPr>
            <w:t xml:space="preserve"> -</w:t>
          </w:r>
        </w:p>
      </w:tc>
      <w:sdt>
        <w:sdtPr>
          <w:tag w:val="CCMatter"/>
          <w:id w:val="-1155610774"/>
          <w:placeholder>
            <w:docPart w:val="A2EDD293665F440095034BA1FF2368BD"/>
          </w:placeholder>
          <w:text/>
        </w:sdtPr>
        <w:sdtEndPr/>
        <w:sdtContent>
          <w:tc>
            <w:tcPr>
              <w:tcW w:w="1667" w:type="pct"/>
            </w:tcPr>
            <w:p w:rsidR="00113FB4" w:rsidRDefault="00800232" w:rsidP="0072483A">
              <w:pPr>
                <w:pStyle w:val="FooterRight"/>
              </w:pPr>
              <w:r>
                <w:t>UK-3020-P-Open2</w:t>
              </w:r>
            </w:p>
          </w:tc>
        </w:sdtContent>
      </w:sdt>
    </w:tr>
  </w:tbl>
  <w:p w:rsidR="00A270E1" w:rsidRDefault="00A270E1" w:rsidP="00A270E1">
    <w:pPr>
      <w:pStyle w:val="AONormal8L"/>
      <w:jc w:val="center"/>
    </w:pPr>
  </w:p>
  <w:p w:rsidR="00113FB4" w:rsidRDefault="00661BD1">
    <w:pPr>
      <w:pStyle w:val="Footer"/>
    </w:pPr>
    <w:r w:rsidRPr="00661BD1">
      <w:rPr>
        <w:rFonts w:ascii="Arial" w:hAnsi="Arial"/>
        <w:iCs/>
        <w:lang w:eastAsia="en-US" w:bidi="ar-SA"/>
      </w:rPr>
      <w:t>Copyright © 20</w:t>
    </w:r>
    <w:r w:rsidR="00325E77">
      <w:rPr>
        <w:rFonts w:ascii="Arial" w:hAnsi="Arial"/>
        <w:iCs/>
        <w:lang w:eastAsia="en-US" w:bidi="ar-SA"/>
      </w:rPr>
      <w:t>21</w:t>
    </w:r>
    <w:r w:rsidRPr="00661BD1">
      <w:rPr>
        <w:rFonts w:ascii="Arial" w:hAnsi="Arial"/>
        <w:iCs/>
        <w:lang w:eastAsia="en-US" w:bidi="ar-SA"/>
      </w:rPr>
      <w:t xml:space="preserve"> by the International Swaps and Derivatives Association, Inc., the Association for Financial Markets in Europe, the Futures Industry Association, Inc., the International Capital Market Association, the International Securities Lending Association and SIFMA. Neither the International Swaps and Derivatives Association, Inc., the Association for Financial Markets in Europe, the Futures Industry Association, Inc., the International Capital Market Association and the International Securities Lending Association nor SIFMA, has reviewed or endorsed any modifications that may have been made to this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304" w:rsidRPr="00A05304" w:rsidRDefault="00A05304">
    <w:pPr>
      <w:pStyle w:val="Footer"/>
      <w:jc w:val="center"/>
      <w:rPr>
        <w:caps/>
        <w:noProof/>
        <w:sz w:val="24"/>
        <w:szCs w:val="24"/>
      </w:rPr>
    </w:pPr>
    <w:r w:rsidRPr="00A05304">
      <w:rPr>
        <w:caps/>
        <w:noProof/>
        <w:sz w:val="24"/>
        <w:szCs w:val="24"/>
      </w:rPr>
      <w:t>-1-</w:t>
    </w:r>
  </w:p>
  <w:p w:rsidR="00A05304" w:rsidRDefault="00A05304">
    <w:pPr>
      <w:pStyle w:val="Footer"/>
      <w:jc w:val="center"/>
      <w:rPr>
        <w:caps/>
        <w:noProof/>
        <w:color w:val="4F81BD" w:themeColor="accent1"/>
      </w:rPr>
    </w:pPr>
  </w:p>
  <w:p w:rsidR="00113FB4" w:rsidRDefault="00661BD1">
    <w:pPr>
      <w:pStyle w:val="Footer"/>
    </w:pPr>
    <w:r w:rsidRPr="00661BD1">
      <w:rPr>
        <w:rFonts w:ascii="Arial" w:hAnsi="Arial"/>
        <w:iCs/>
        <w:lang w:eastAsia="en-US" w:bidi="ar-SA"/>
      </w:rPr>
      <w:t>Copyright © 20</w:t>
    </w:r>
    <w:r w:rsidR="00325E77">
      <w:rPr>
        <w:rFonts w:ascii="Arial" w:hAnsi="Arial"/>
        <w:iCs/>
        <w:lang w:eastAsia="en-US" w:bidi="ar-SA"/>
      </w:rPr>
      <w:t>21</w:t>
    </w:r>
    <w:r w:rsidRPr="00661BD1">
      <w:rPr>
        <w:rFonts w:ascii="Arial" w:hAnsi="Arial"/>
        <w:iCs/>
        <w:lang w:eastAsia="en-US" w:bidi="ar-SA"/>
      </w:rPr>
      <w:t xml:space="preserve"> by the International Swaps and Derivatives Association, Inc., the Association for Financial Markets in Europe, the Futures Industry Association, Inc., the International Capital Market Association, the International Securities Lending Association and SIFMA. Neither the International Swaps and Derivatives Association, Inc., the Association for Financial Markets in Europe, the Futures Industry Association, Inc., the International Capital Market Association and the International Securities Lending Association nor SIFMA, has reviewed or endorsed any modifications that may have been made to this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86B" w:rsidRDefault="004D786B" w:rsidP="006A68DF">
      <w:pPr>
        <w:spacing w:after="0" w:line="240" w:lineRule="auto"/>
      </w:pPr>
      <w:r>
        <w:separator/>
      </w:r>
    </w:p>
  </w:footnote>
  <w:footnote w:type="continuationSeparator" w:id="0">
    <w:p w:rsidR="004D786B" w:rsidRDefault="004D786B" w:rsidP="006A68DF">
      <w:pPr>
        <w:spacing w:after="0" w:line="240" w:lineRule="auto"/>
      </w:pPr>
      <w:r>
        <w:continuationSeparator/>
      </w:r>
    </w:p>
  </w:footnote>
  <w:footnote w:id="1">
    <w:p w:rsidR="00113FB4" w:rsidRDefault="00113FB4">
      <w:pPr>
        <w:pStyle w:val="FootnoteText"/>
      </w:pPr>
      <w:r>
        <w:rPr>
          <w:rStyle w:val="FootnoteReference"/>
        </w:rPr>
        <w:footnoteRef/>
      </w:r>
      <w:r w:rsidR="00D44DBE">
        <w:t xml:space="preserve"> Note: F</w:t>
      </w:r>
      <w:r>
        <w:t>irms that have given other disclosures in relation to Collateral Arrangements (e.g., under Art 39 EMIR) may wish to cross-refer to those disclosures here</w:t>
      </w:r>
      <w:r w:rsidR="00D44DBE">
        <w:t>.</w:t>
      </w:r>
    </w:p>
  </w:footnote>
  <w:footnote w:id="2">
    <w:p w:rsidR="00113FB4" w:rsidRDefault="00113FB4">
      <w:pPr>
        <w:pStyle w:val="FootnoteText"/>
      </w:pPr>
      <w:r>
        <w:rPr>
          <w:rStyle w:val="FootnoteReference"/>
        </w:rPr>
        <w:footnoteRef/>
      </w:r>
      <w:r>
        <w:t xml:space="preserve"> Note: </w:t>
      </w:r>
      <w:r w:rsidR="00B77ABD">
        <w:t>D</w:t>
      </w:r>
      <w:r>
        <w:t xml:space="preserve">efined terms will need to be modified where the disclosure statement </w:t>
      </w:r>
      <w:r w:rsidR="00B77ABD">
        <w:t xml:space="preserve">is included as an </w:t>
      </w:r>
      <w:r>
        <w:t xml:space="preserve">annex to </w:t>
      </w:r>
      <w:r w:rsidR="00B77ABD">
        <w:t xml:space="preserve">an </w:t>
      </w:r>
      <w:r>
        <w:t>agreement</w:t>
      </w:r>
      <w:r w:rsidR="00B77ABD">
        <w:t>.</w:t>
      </w:r>
    </w:p>
  </w:footnote>
  <w:footnote w:id="3">
    <w:p w:rsidR="0074015E" w:rsidRPr="0074015E" w:rsidRDefault="0074015E">
      <w:pPr>
        <w:pStyle w:val="FootnoteText"/>
        <w:rPr>
          <w:lang w:val="en-US"/>
        </w:rPr>
      </w:pPr>
      <w:r>
        <w:rPr>
          <w:rStyle w:val="FootnoteReference"/>
        </w:rPr>
        <w:footnoteRef/>
      </w:r>
      <w:r>
        <w:t xml:space="preserve"> </w:t>
      </w:r>
      <w:r>
        <w:rPr>
          <w:lang w:val="en-US"/>
        </w:rPr>
        <w:t>As noted above, Appendix 3 sets forth the risks and consequences that may arise in connection with re-use of financial instruments by a U.S. broker-dealer, U.S. futures commission merchant, or U.S. bank or U.S. branch or agency office of a non-U.S. bank.</w:t>
      </w:r>
    </w:p>
  </w:footnote>
  <w:footnote w:id="4">
    <w:p w:rsidR="00D068DF" w:rsidRDefault="00D068DF">
      <w:pPr>
        <w:pStyle w:val="FootnoteText"/>
      </w:pPr>
      <w:r>
        <w:rPr>
          <w:rStyle w:val="FootnoteReference"/>
        </w:rPr>
        <w:footnoteRef/>
      </w:r>
      <w:r w:rsidR="00D44DBE">
        <w:t xml:space="preserve"> Note: F</w:t>
      </w:r>
      <w:r>
        <w:t xml:space="preserve">irms which have provided separate disclosure on these risks (e.g., under Article 39 </w:t>
      </w:r>
      <w:r w:rsidR="0048020A">
        <w:t xml:space="preserve">UK </w:t>
      </w:r>
      <w:r>
        <w:t xml:space="preserve">EMIR) may wish to cross refer to that disclosure or indicate where that disclosure can be found.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1179"/>
      <w:gridCol w:w="272"/>
      <w:gridCol w:w="2908"/>
    </w:tblGrid>
    <w:tr w:rsidR="001A4F96" w:rsidTr="00DF3DDC">
      <w:trPr>
        <w:trHeight w:val="1627"/>
      </w:trPr>
      <w:tc>
        <w:tcPr>
          <w:tcW w:w="10359" w:type="dxa"/>
          <w:gridSpan w:val="2"/>
          <w:vAlign w:val="center"/>
        </w:tcPr>
        <w:p w:rsidR="00DF3DDC" w:rsidRDefault="00DF3DDC" w:rsidP="00E954BA">
          <w:pPr>
            <w:pStyle w:val="Header"/>
            <w:jc w:val="left"/>
          </w:pPr>
          <w:r w:rsidRPr="00DF3DDC">
            <w:rPr>
              <w:noProof/>
              <w:lang w:eastAsia="en-GB" w:bidi="ar-SA"/>
            </w:rPr>
            <w:drawing>
              <wp:inline distT="0" distB="0" distL="0" distR="0">
                <wp:extent cx="1562100" cy="609600"/>
                <wp:effectExtent l="19050" t="0" r="0" b="0"/>
                <wp:docPr id="33" name="Picture 33" descr="AFME_rgb_high_CW_crop"/>
                <wp:cNvGraphicFramePr/>
                <a:graphic xmlns:a="http://schemas.openxmlformats.org/drawingml/2006/main">
                  <a:graphicData uri="http://schemas.openxmlformats.org/drawingml/2006/picture">
                    <pic:pic xmlns:pic="http://schemas.openxmlformats.org/drawingml/2006/picture">
                      <pic:nvPicPr>
                        <pic:cNvPr id="1038" name="Picture 14" descr="AFME_rgb_high_CW_crop"/>
                        <pic:cNvPicPr>
                          <a:picLocks noChangeAspect="1" noChangeArrowheads="1"/>
                        </pic:cNvPicPr>
                      </pic:nvPicPr>
                      <pic:blipFill>
                        <a:blip r:embed="rId1"/>
                        <a:srcRect/>
                        <a:stretch>
                          <a:fillRect/>
                        </a:stretch>
                      </pic:blipFill>
                      <pic:spPr bwMode="auto">
                        <a:xfrm>
                          <a:off x="0" y="0"/>
                          <a:ext cx="1562100" cy="609600"/>
                        </a:xfrm>
                        <a:prstGeom prst="rect">
                          <a:avLst/>
                        </a:prstGeom>
                        <a:noFill/>
                      </pic:spPr>
                    </pic:pic>
                  </a:graphicData>
                </a:graphic>
              </wp:inline>
            </w:drawing>
          </w:r>
          <w:r w:rsidR="00E954BA">
            <w:t xml:space="preserve">     </w:t>
          </w:r>
          <w:r w:rsidRPr="00DF3DDC">
            <w:rPr>
              <w:noProof/>
              <w:lang w:eastAsia="en-GB" w:bidi="ar-SA"/>
            </w:rPr>
            <w:drawing>
              <wp:inline distT="0" distB="0" distL="0" distR="0">
                <wp:extent cx="1428750" cy="723900"/>
                <wp:effectExtent l="19050" t="0" r="0" b="0"/>
                <wp:docPr id="34" name="Picture 34"/>
                <wp:cNvGraphicFramePr/>
                <a:graphic xmlns:a="http://schemas.openxmlformats.org/drawingml/2006/main">
                  <a:graphicData uri="http://schemas.openxmlformats.org/drawingml/2006/picture">
                    <pic:pic xmlns:pic="http://schemas.openxmlformats.org/drawingml/2006/picture">
                      <pic:nvPicPr>
                        <pic:cNvPr id="1037" name="Picture 6"/>
                        <pic:cNvPicPr>
                          <a:picLocks noChangeAspect="1" noChangeArrowheads="1"/>
                        </pic:cNvPicPr>
                      </pic:nvPicPr>
                      <pic:blipFill>
                        <a:blip r:embed="rId2"/>
                        <a:srcRect/>
                        <a:stretch>
                          <a:fillRect/>
                        </a:stretch>
                      </pic:blipFill>
                      <pic:spPr bwMode="auto">
                        <a:xfrm>
                          <a:off x="0" y="0"/>
                          <a:ext cx="1428750" cy="723900"/>
                        </a:xfrm>
                        <a:prstGeom prst="rect">
                          <a:avLst/>
                        </a:prstGeom>
                        <a:noFill/>
                      </pic:spPr>
                    </pic:pic>
                  </a:graphicData>
                </a:graphic>
              </wp:inline>
            </w:drawing>
          </w:r>
          <w:r w:rsidR="00E954BA">
            <w:t xml:space="preserve">        </w:t>
          </w:r>
          <w:r w:rsidRPr="00DF3DDC">
            <w:rPr>
              <w:noProof/>
              <w:lang w:eastAsia="en-GB" w:bidi="ar-SA"/>
            </w:rPr>
            <w:drawing>
              <wp:inline distT="0" distB="0" distL="0" distR="0">
                <wp:extent cx="1512168" cy="902146"/>
                <wp:effectExtent l="19050" t="0" r="0" b="0"/>
                <wp:docPr id="35" name="Picture 35"/>
                <wp:cNvGraphicFramePr/>
                <a:graphic xmlns:a="http://schemas.openxmlformats.org/drawingml/2006/main">
                  <a:graphicData uri="http://schemas.openxmlformats.org/drawingml/2006/picture">
                    <pic:pic xmlns:pic="http://schemas.openxmlformats.org/drawingml/2006/picture">
                      <pic:nvPicPr>
                        <pic:cNvPr id="1036" name="Picture 8"/>
                        <pic:cNvPicPr>
                          <a:picLocks noChangeAspect="1" noChangeArrowheads="1"/>
                        </pic:cNvPicPr>
                      </pic:nvPicPr>
                      <pic:blipFill>
                        <a:blip r:embed="rId3"/>
                        <a:srcRect/>
                        <a:stretch>
                          <a:fillRect/>
                        </a:stretch>
                      </pic:blipFill>
                      <pic:spPr bwMode="auto">
                        <a:xfrm>
                          <a:off x="0" y="0"/>
                          <a:ext cx="1512168" cy="902146"/>
                        </a:xfrm>
                        <a:prstGeom prst="rect">
                          <a:avLst/>
                        </a:prstGeom>
                        <a:noFill/>
                      </pic:spPr>
                    </pic:pic>
                  </a:graphicData>
                </a:graphic>
              </wp:inline>
            </w:drawing>
          </w:r>
        </w:p>
        <w:p w:rsidR="001A4F96" w:rsidRDefault="00DF3DDC" w:rsidP="00E954BA">
          <w:pPr>
            <w:pStyle w:val="Header"/>
            <w:jc w:val="left"/>
          </w:pPr>
          <w:r w:rsidRPr="00DF3DDC">
            <w:rPr>
              <w:noProof/>
              <w:lang w:eastAsia="en-GB" w:bidi="ar-SA"/>
            </w:rPr>
            <w:drawing>
              <wp:inline distT="0" distB="0" distL="0" distR="0">
                <wp:extent cx="1509142" cy="372740"/>
                <wp:effectExtent l="19050" t="0" r="0" b="0"/>
                <wp:docPr id="36" name="Picture 36" descr="ISDA, International Swaps and Derivatives Association"/>
                <wp:cNvGraphicFramePr/>
                <a:graphic xmlns:a="http://schemas.openxmlformats.org/drawingml/2006/main">
                  <a:graphicData uri="http://schemas.openxmlformats.org/drawingml/2006/picture">
                    <pic:pic xmlns:pic="http://schemas.openxmlformats.org/drawingml/2006/picture">
                      <pic:nvPicPr>
                        <pic:cNvPr id="1035" name="Picture 9" descr="ISDA, International Swaps and Derivatives Association"/>
                        <pic:cNvPicPr>
                          <a:picLocks noChangeAspect="1" noChangeArrowheads="1"/>
                        </pic:cNvPicPr>
                      </pic:nvPicPr>
                      <pic:blipFill>
                        <a:blip r:embed="rId4"/>
                        <a:srcRect/>
                        <a:stretch>
                          <a:fillRect/>
                        </a:stretch>
                      </pic:blipFill>
                      <pic:spPr bwMode="auto">
                        <a:xfrm>
                          <a:off x="0" y="0"/>
                          <a:ext cx="1509142" cy="372740"/>
                        </a:xfrm>
                        <a:prstGeom prst="rect">
                          <a:avLst/>
                        </a:prstGeom>
                        <a:noFill/>
                      </pic:spPr>
                    </pic:pic>
                  </a:graphicData>
                </a:graphic>
              </wp:inline>
            </w:drawing>
          </w:r>
          <w:r w:rsidR="00E954BA">
            <w:t xml:space="preserve"> </w:t>
          </w:r>
          <w:r w:rsidRPr="00DF3DDC">
            <w:rPr>
              <w:noProof/>
              <w:lang w:eastAsia="en-GB" w:bidi="ar-SA"/>
            </w:rPr>
            <w:drawing>
              <wp:inline distT="0" distB="0" distL="0" distR="0">
                <wp:extent cx="2019300" cy="504825"/>
                <wp:effectExtent l="19050" t="0" r="0" b="0"/>
                <wp:docPr id="37" name="Picture 37" descr="Corporatelonglogo"/>
                <wp:cNvGraphicFramePr/>
                <a:graphic xmlns:a="http://schemas.openxmlformats.org/drawingml/2006/main">
                  <a:graphicData uri="http://schemas.openxmlformats.org/drawingml/2006/picture">
                    <pic:pic xmlns:pic="http://schemas.openxmlformats.org/drawingml/2006/picture">
                      <pic:nvPicPr>
                        <pic:cNvPr id="1034" name="Picture 10" descr="Corporatelonglogo"/>
                        <pic:cNvPicPr>
                          <a:picLocks noChangeAspect="1" noChangeArrowheads="1"/>
                        </pic:cNvPicPr>
                      </pic:nvPicPr>
                      <pic:blipFill>
                        <a:blip r:embed="rId5"/>
                        <a:srcRect/>
                        <a:stretch>
                          <a:fillRect/>
                        </a:stretch>
                      </pic:blipFill>
                      <pic:spPr bwMode="auto">
                        <a:xfrm>
                          <a:off x="0" y="0"/>
                          <a:ext cx="2019300" cy="504825"/>
                        </a:xfrm>
                        <a:prstGeom prst="rect">
                          <a:avLst/>
                        </a:prstGeom>
                        <a:noFill/>
                      </pic:spPr>
                    </pic:pic>
                  </a:graphicData>
                </a:graphic>
              </wp:inline>
            </w:drawing>
          </w:r>
          <w:r w:rsidR="00E954BA">
            <w:t xml:space="preserve">   </w:t>
          </w:r>
          <w:r w:rsidRPr="00DF3DDC">
            <w:rPr>
              <w:noProof/>
              <w:lang w:eastAsia="en-GB" w:bidi="ar-SA"/>
            </w:rPr>
            <w:drawing>
              <wp:inline distT="0" distB="0" distL="0" distR="0">
                <wp:extent cx="1562100" cy="704850"/>
                <wp:effectExtent l="19050" t="0" r="0" b="0"/>
                <wp:docPr id="38" name="Picture 38" descr="SIFMA_logo_rgbWORD"/>
                <wp:cNvGraphicFramePr/>
                <a:graphic xmlns:a="http://schemas.openxmlformats.org/drawingml/2006/main">
                  <a:graphicData uri="http://schemas.openxmlformats.org/drawingml/2006/picture">
                    <pic:pic xmlns:pic="http://schemas.openxmlformats.org/drawingml/2006/picture">
                      <pic:nvPicPr>
                        <pic:cNvPr id="1033" name="Picture 1" descr="SIFMA_logo_rgbWORD"/>
                        <pic:cNvPicPr>
                          <a:picLocks noChangeAspect="1" noChangeArrowheads="1"/>
                        </pic:cNvPicPr>
                      </pic:nvPicPr>
                      <pic:blipFill>
                        <a:blip r:embed="rId6"/>
                        <a:srcRect/>
                        <a:stretch>
                          <a:fillRect/>
                        </a:stretch>
                      </pic:blipFill>
                      <pic:spPr bwMode="auto">
                        <a:xfrm>
                          <a:off x="0" y="0"/>
                          <a:ext cx="1562100" cy="704850"/>
                        </a:xfrm>
                        <a:prstGeom prst="rect">
                          <a:avLst/>
                        </a:prstGeom>
                        <a:noFill/>
                      </pic:spPr>
                    </pic:pic>
                  </a:graphicData>
                </a:graphic>
              </wp:inline>
            </w:drawing>
          </w:r>
        </w:p>
      </w:tc>
      <w:tc>
        <w:tcPr>
          <w:tcW w:w="272" w:type="dxa"/>
          <w:vAlign w:val="center"/>
        </w:tcPr>
        <w:p w:rsidR="001A4F96" w:rsidRDefault="001A4F96" w:rsidP="001A4F96">
          <w:pPr>
            <w:pStyle w:val="Header"/>
            <w:jc w:val="center"/>
          </w:pPr>
        </w:p>
      </w:tc>
      <w:tc>
        <w:tcPr>
          <w:tcW w:w="2908" w:type="dxa"/>
          <w:vAlign w:val="center"/>
        </w:tcPr>
        <w:p w:rsidR="001A4F96" w:rsidRDefault="001A4F96" w:rsidP="001A4F96">
          <w:pPr>
            <w:pStyle w:val="Header"/>
            <w:jc w:val="center"/>
          </w:pPr>
        </w:p>
      </w:tc>
    </w:tr>
    <w:tr w:rsidR="001A4F96" w:rsidTr="00DF3DDC">
      <w:trPr>
        <w:trHeight w:val="905"/>
      </w:trPr>
      <w:tc>
        <w:tcPr>
          <w:tcW w:w="9180" w:type="dxa"/>
          <w:vAlign w:val="center"/>
        </w:tcPr>
        <w:p w:rsidR="001A4F96" w:rsidRDefault="001A4F96" w:rsidP="00DF3DDC">
          <w:pPr>
            <w:pStyle w:val="Header"/>
            <w:jc w:val="center"/>
          </w:pPr>
        </w:p>
      </w:tc>
      <w:tc>
        <w:tcPr>
          <w:tcW w:w="4359" w:type="dxa"/>
          <w:gridSpan w:val="3"/>
          <w:vAlign w:val="center"/>
        </w:tcPr>
        <w:p w:rsidR="001A4F96" w:rsidRDefault="001A4F96" w:rsidP="00DF3DDC">
          <w:pPr>
            <w:pStyle w:val="Header"/>
            <w:jc w:val="center"/>
          </w:pPr>
        </w:p>
      </w:tc>
    </w:tr>
  </w:tbl>
  <w:p w:rsidR="00113FB4" w:rsidRDefault="00113FB4" w:rsidP="007B621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188F"/>
    <w:multiLevelType w:val="multilevel"/>
    <w:tmpl w:val="83606434"/>
    <w:name w:val="8be3ad72-fec8-430f-8b2a-7b770ac10f80"/>
    <w:lvl w:ilvl="0">
      <w:start w:val="1"/>
      <w:numFmt w:val="decima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15:restartNumberingAfterBreak="0">
    <w:nsid w:val="0AB731F4"/>
    <w:multiLevelType w:val="hybridMultilevel"/>
    <w:tmpl w:val="58A4F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12AD4"/>
    <w:multiLevelType w:val="hybridMultilevel"/>
    <w:tmpl w:val="6FBAA5D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1410A6"/>
    <w:multiLevelType w:val="hybridMultilevel"/>
    <w:tmpl w:val="A546E6C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37189F"/>
    <w:multiLevelType w:val="hybridMultilevel"/>
    <w:tmpl w:val="5F1E9E9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17">
      <w:start w:val="1"/>
      <w:numFmt w:val="lowerLetter"/>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F3303A"/>
    <w:multiLevelType w:val="hybridMultilevel"/>
    <w:tmpl w:val="C1AEE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F1903"/>
    <w:multiLevelType w:val="singleLevel"/>
    <w:tmpl w:val="0C36CB0E"/>
    <w:name w:val="Bullet 5"/>
    <w:lvl w:ilvl="0">
      <w:start w:val="1"/>
      <w:numFmt w:val="bullet"/>
      <w:pStyle w:val="Bullet5"/>
      <w:lvlText w:val=""/>
      <w:lvlJc w:val="left"/>
      <w:pPr>
        <w:tabs>
          <w:tab w:val="num" w:pos="3289"/>
        </w:tabs>
        <w:ind w:left="3289" w:hanging="681"/>
      </w:pPr>
      <w:rPr>
        <w:rFonts w:ascii="Symbol" w:hAnsi="Symbol" w:hint="default"/>
      </w:rPr>
    </w:lvl>
  </w:abstractNum>
  <w:abstractNum w:abstractNumId="7" w15:restartNumberingAfterBreak="0">
    <w:nsid w:val="31EF4F5B"/>
    <w:multiLevelType w:val="hybridMultilevel"/>
    <w:tmpl w:val="F1F601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98290F"/>
    <w:multiLevelType w:val="hybridMultilevel"/>
    <w:tmpl w:val="A454B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6A054D"/>
    <w:multiLevelType w:val="hybridMultilevel"/>
    <w:tmpl w:val="2ECE10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D90AE9"/>
    <w:multiLevelType w:val="hybridMultilevel"/>
    <w:tmpl w:val="89923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A54B7C"/>
    <w:multiLevelType w:val="multilevel"/>
    <w:tmpl w:val="4118A4C4"/>
    <w:name w:val="Paragraph"/>
    <w:lvl w:ilvl="0">
      <w:start w:val="1"/>
      <w:numFmt w:val="decimal"/>
      <w:lvlRestart w:val="0"/>
      <w:pStyle w:val="Paragraph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Paragraph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Paragraph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Paragraph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aragraph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Paragraph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Paragraph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Paragraph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aragraph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2" w15:restartNumberingAfterBreak="0">
    <w:nsid w:val="57232C5F"/>
    <w:multiLevelType w:val="hybridMultilevel"/>
    <w:tmpl w:val="D2ACC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907E1A"/>
    <w:multiLevelType w:val="hybridMultilevel"/>
    <w:tmpl w:val="9A9E46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E995F62"/>
    <w:multiLevelType w:val="hybridMultilevel"/>
    <w:tmpl w:val="E156352A"/>
    <w:lvl w:ilvl="0" w:tplc="A6C2D1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771C18"/>
    <w:multiLevelType w:val="hybridMultilevel"/>
    <w:tmpl w:val="9A9E46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1F42669"/>
    <w:multiLevelType w:val="hybridMultilevel"/>
    <w:tmpl w:val="6D04B3F4"/>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7" w15:restartNumberingAfterBreak="0">
    <w:nsid w:val="75C721A9"/>
    <w:multiLevelType w:val="hybridMultilevel"/>
    <w:tmpl w:val="FB9E7CDC"/>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8" w15:restartNumberingAfterBreak="0">
    <w:nsid w:val="7C8A1BE2"/>
    <w:multiLevelType w:val="hybridMultilevel"/>
    <w:tmpl w:val="DB76B7B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1"/>
  </w:num>
  <w:num w:numId="11">
    <w:abstractNumId w:val="6"/>
  </w:num>
  <w:num w:numId="12">
    <w:abstractNumId w:val="2"/>
  </w:num>
  <w:num w:numId="13">
    <w:abstractNumId w:val="15"/>
  </w:num>
  <w:num w:numId="14">
    <w:abstractNumId w:val="8"/>
  </w:num>
  <w:num w:numId="15">
    <w:abstractNumId w:val="1"/>
  </w:num>
  <w:num w:numId="16">
    <w:abstractNumId w:val="12"/>
  </w:num>
  <w:num w:numId="17">
    <w:abstractNumId w:val="5"/>
  </w:num>
  <w:num w:numId="18">
    <w:abstractNumId w:val="10"/>
  </w:num>
  <w:num w:numId="19">
    <w:abstractNumId w:val="9"/>
  </w:num>
  <w:num w:numId="20">
    <w:abstractNumId w:val="14"/>
  </w:num>
  <w:num w:numId="21">
    <w:abstractNumId w:val="4"/>
  </w:num>
  <w:num w:numId="22">
    <w:abstractNumId w:val="18"/>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3"/>
  </w:num>
  <w:num w:numId="26">
    <w:abstractNumId w:val="1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93"/>
    <w:rsid w:val="00004A59"/>
    <w:rsid w:val="00011200"/>
    <w:rsid w:val="0001388C"/>
    <w:rsid w:val="00014DB3"/>
    <w:rsid w:val="000150E7"/>
    <w:rsid w:val="0001713E"/>
    <w:rsid w:val="0002105A"/>
    <w:rsid w:val="00021FC5"/>
    <w:rsid w:val="00026CE8"/>
    <w:rsid w:val="0002717C"/>
    <w:rsid w:val="00031907"/>
    <w:rsid w:val="000368EE"/>
    <w:rsid w:val="00040F3D"/>
    <w:rsid w:val="00041855"/>
    <w:rsid w:val="000440B3"/>
    <w:rsid w:val="00045990"/>
    <w:rsid w:val="00047C84"/>
    <w:rsid w:val="00050BC8"/>
    <w:rsid w:val="00056519"/>
    <w:rsid w:val="00064665"/>
    <w:rsid w:val="000655EB"/>
    <w:rsid w:val="00066835"/>
    <w:rsid w:val="00067954"/>
    <w:rsid w:val="000713C3"/>
    <w:rsid w:val="000733BE"/>
    <w:rsid w:val="000733DB"/>
    <w:rsid w:val="00084F5D"/>
    <w:rsid w:val="00085B40"/>
    <w:rsid w:val="00091783"/>
    <w:rsid w:val="000935C4"/>
    <w:rsid w:val="0009549A"/>
    <w:rsid w:val="000A61E8"/>
    <w:rsid w:val="000C64BD"/>
    <w:rsid w:val="000C7264"/>
    <w:rsid w:val="000D11B6"/>
    <w:rsid w:val="000D1C4C"/>
    <w:rsid w:val="000D1F9D"/>
    <w:rsid w:val="000D1FED"/>
    <w:rsid w:val="000D2758"/>
    <w:rsid w:val="000D49AD"/>
    <w:rsid w:val="000E22D1"/>
    <w:rsid w:val="000E3C7E"/>
    <w:rsid w:val="000F06DB"/>
    <w:rsid w:val="000F08CD"/>
    <w:rsid w:val="000F1AA5"/>
    <w:rsid w:val="000F3E45"/>
    <w:rsid w:val="000F52E5"/>
    <w:rsid w:val="00101A15"/>
    <w:rsid w:val="00103D36"/>
    <w:rsid w:val="00113FB4"/>
    <w:rsid w:val="00114B8B"/>
    <w:rsid w:val="001163C4"/>
    <w:rsid w:val="00117312"/>
    <w:rsid w:val="00124385"/>
    <w:rsid w:val="00126A54"/>
    <w:rsid w:val="00135447"/>
    <w:rsid w:val="00140540"/>
    <w:rsid w:val="00140CF8"/>
    <w:rsid w:val="00141011"/>
    <w:rsid w:val="00144807"/>
    <w:rsid w:val="00173386"/>
    <w:rsid w:val="00184E3B"/>
    <w:rsid w:val="00191EF5"/>
    <w:rsid w:val="0019241D"/>
    <w:rsid w:val="001926CD"/>
    <w:rsid w:val="00196F66"/>
    <w:rsid w:val="001A036D"/>
    <w:rsid w:val="001A10E8"/>
    <w:rsid w:val="001A2AFF"/>
    <w:rsid w:val="001A4F96"/>
    <w:rsid w:val="001B4F0D"/>
    <w:rsid w:val="001C3B74"/>
    <w:rsid w:val="001C58B6"/>
    <w:rsid w:val="001D2707"/>
    <w:rsid w:val="001E16CC"/>
    <w:rsid w:val="001E3678"/>
    <w:rsid w:val="001E4569"/>
    <w:rsid w:val="001F0DFF"/>
    <w:rsid w:val="001F1771"/>
    <w:rsid w:val="001F2AF0"/>
    <w:rsid w:val="001F32CC"/>
    <w:rsid w:val="001F47D4"/>
    <w:rsid w:val="0020639E"/>
    <w:rsid w:val="00210692"/>
    <w:rsid w:val="00210BC6"/>
    <w:rsid w:val="00220DCD"/>
    <w:rsid w:val="0022504E"/>
    <w:rsid w:val="00231896"/>
    <w:rsid w:val="002379BE"/>
    <w:rsid w:val="002541EE"/>
    <w:rsid w:val="002579E9"/>
    <w:rsid w:val="00257CA6"/>
    <w:rsid w:val="00264149"/>
    <w:rsid w:val="002647B4"/>
    <w:rsid w:val="00264CC0"/>
    <w:rsid w:val="00267B6E"/>
    <w:rsid w:val="00271179"/>
    <w:rsid w:val="00272EC7"/>
    <w:rsid w:val="00273833"/>
    <w:rsid w:val="00280B62"/>
    <w:rsid w:val="00293343"/>
    <w:rsid w:val="002A1947"/>
    <w:rsid w:val="002B12BB"/>
    <w:rsid w:val="002B1CA8"/>
    <w:rsid w:val="002B3B85"/>
    <w:rsid w:val="002D525F"/>
    <w:rsid w:val="002E0CDC"/>
    <w:rsid w:val="002F1DB9"/>
    <w:rsid w:val="002F4EDC"/>
    <w:rsid w:val="002F52A9"/>
    <w:rsid w:val="002F567E"/>
    <w:rsid w:val="002F6620"/>
    <w:rsid w:val="003035BE"/>
    <w:rsid w:val="003050B3"/>
    <w:rsid w:val="0030567B"/>
    <w:rsid w:val="00307F83"/>
    <w:rsid w:val="0032005B"/>
    <w:rsid w:val="00324FB3"/>
    <w:rsid w:val="00325E77"/>
    <w:rsid w:val="00327202"/>
    <w:rsid w:val="00341354"/>
    <w:rsid w:val="00344490"/>
    <w:rsid w:val="003457B5"/>
    <w:rsid w:val="003506D0"/>
    <w:rsid w:val="00363207"/>
    <w:rsid w:val="0036509B"/>
    <w:rsid w:val="00366136"/>
    <w:rsid w:val="00366316"/>
    <w:rsid w:val="00370897"/>
    <w:rsid w:val="003727EA"/>
    <w:rsid w:val="00375786"/>
    <w:rsid w:val="00376824"/>
    <w:rsid w:val="003844DB"/>
    <w:rsid w:val="0038581C"/>
    <w:rsid w:val="00385CE1"/>
    <w:rsid w:val="003904AB"/>
    <w:rsid w:val="003951AD"/>
    <w:rsid w:val="003972B9"/>
    <w:rsid w:val="003A1EAF"/>
    <w:rsid w:val="003A5F0A"/>
    <w:rsid w:val="003B16BC"/>
    <w:rsid w:val="003B2B92"/>
    <w:rsid w:val="003B635A"/>
    <w:rsid w:val="003C6DFB"/>
    <w:rsid w:val="003C7C9F"/>
    <w:rsid w:val="003E34EA"/>
    <w:rsid w:val="003F20FB"/>
    <w:rsid w:val="003F6D82"/>
    <w:rsid w:val="004016CB"/>
    <w:rsid w:val="004022D0"/>
    <w:rsid w:val="0040517C"/>
    <w:rsid w:val="00405928"/>
    <w:rsid w:val="004079E5"/>
    <w:rsid w:val="00413844"/>
    <w:rsid w:val="00413B73"/>
    <w:rsid w:val="00415ACE"/>
    <w:rsid w:val="00417459"/>
    <w:rsid w:val="00426221"/>
    <w:rsid w:val="00433B46"/>
    <w:rsid w:val="0043594B"/>
    <w:rsid w:val="004365C5"/>
    <w:rsid w:val="00443500"/>
    <w:rsid w:val="004522CC"/>
    <w:rsid w:val="00452B5A"/>
    <w:rsid w:val="00453CFF"/>
    <w:rsid w:val="0045547D"/>
    <w:rsid w:val="00457046"/>
    <w:rsid w:val="00462931"/>
    <w:rsid w:val="00473938"/>
    <w:rsid w:val="00473F49"/>
    <w:rsid w:val="00473FED"/>
    <w:rsid w:val="0048020A"/>
    <w:rsid w:val="004804AE"/>
    <w:rsid w:val="00490D09"/>
    <w:rsid w:val="0049143A"/>
    <w:rsid w:val="004A0B63"/>
    <w:rsid w:val="004A29FD"/>
    <w:rsid w:val="004A4014"/>
    <w:rsid w:val="004A4C9C"/>
    <w:rsid w:val="004C0008"/>
    <w:rsid w:val="004C0417"/>
    <w:rsid w:val="004C2156"/>
    <w:rsid w:val="004C5596"/>
    <w:rsid w:val="004D4A4D"/>
    <w:rsid w:val="004D68A4"/>
    <w:rsid w:val="004D786B"/>
    <w:rsid w:val="004F3F04"/>
    <w:rsid w:val="004F4FE9"/>
    <w:rsid w:val="004F5D30"/>
    <w:rsid w:val="00503C68"/>
    <w:rsid w:val="00506E8C"/>
    <w:rsid w:val="00510507"/>
    <w:rsid w:val="00511CE3"/>
    <w:rsid w:val="0051364F"/>
    <w:rsid w:val="005157DC"/>
    <w:rsid w:val="00520ECE"/>
    <w:rsid w:val="0053355B"/>
    <w:rsid w:val="00534EB9"/>
    <w:rsid w:val="00537C62"/>
    <w:rsid w:val="00544517"/>
    <w:rsid w:val="005601EB"/>
    <w:rsid w:val="00560AD5"/>
    <w:rsid w:val="0056364B"/>
    <w:rsid w:val="0056658C"/>
    <w:rsid w:val="00573020"/>
    <w:rsid w:val="005739BB"/>
    <w:rsid w:val="00586FDF"/>
    <w:rsid w:val="0059651D"/>
    <w:rsid w:val="005A4739"/>
    <w:rsid w:val="005A7522"/>
    <w:rsid w:val="005A7D0C"/>
    <w:rsid w:val="005B4A35"/>
    <w:rsid w:val="005B75D0"/>
    <w:rsid w:val="005D20CD"/>
    <w:rsid w:val="005D6987"/>
    <w:rsid w:val="005D69DB"/>
    <w:rsid w:val="005E2D46"/>
    <w:rsid w:val="005E3713"/>
    <w:rsid w:val="005F2422"/>
    <w:rsid w:val="005F2BA4"/>
    <w:rsid w:val="005F2F19"/>
    <w:rsid w:val="005F7CD2"/>
    <w:rsid w:val="00605DCC"/>
    <w:rsid w:val="00612729"/>
    <w:rsid w:val="006133B0"/>
    <w:rsid w:val="00633872"/>
    <w:rsid w:val="00633E5F"/>
    <w:rsid w:val="0063472B"/>
    <w:rsid w:val="00636B07"/>
    <w:rsid w:val="006437E8"/>
    <w:rsid w:val="00647421"/>
    <w:rsid w:val="006552A2"/>
    <w:rsid w:val="00660393"/>
    <w:rsid w:val="00661BD1"/>
    <w:rsid w:val="00667616"/>
    <w:rsid w:val="00667B71"/>
    <w:rsid w:val="00667E47"/>
    <w:rsid w:val="0067189C"/>
    <w:rsid w:val="00673CCD"/>
    <w:rsid w:val="00674AF3"/>
    <w:rsid w:val="00674CC1"/>
    <w:rsid w:val="0067514A"/>
    <w:rsid w:val="0067673F"/>
    <w:rsid w:val="00680956"/>
    <w:rsid w:val="00680AE0"/>
    <w:rsid w:val="006814DA"/>
    <w:rsid w:val="0068282E"/>
    <w:rsid w:val="00685CEC"/>
    <w:rsid w:val="00686D89"/>
    <w:rsid w:val="006926A5"/>
    <w:rsid w:val="006A1927"/>
    <w:rsid w:val="006A3262"/>
    <w:rsid w:val="006A4E90"/>
    <w:rsid w:val="006A5F82"/>
    <w:rsid w:val="006A68DF"/>
    <w:rsid w:val="006A7CE4"/>
    <w:rsid w:val="006A7E60"/>
    <w:rsid w:val="006B4536"/>
    <w:rsid w:val="006C4A6A"/>
    <w:rsid w:val="006C4F62"/>
    <w:rsid w:val="006D44D3"/>
    <w:rsid w:val="006E12C6"/>
    <w:rsid w:val="006E2531"/>
    <w:rsid w:val="006E36D6"/>
    <w:rsid w:val="006E3D1A"/>
    <w:rsid w:val="006E52C7"/>
    <w:rsid w:val="00700A98"/>
    <w:rsid w:val="00713376"/>
    <w:rsid w:val="007133C1"/>
    <w:rsid w:val="00723310"/>
    <w:rsid w:val="0072446A"/>
    <w:rsid w:val="0072483A"/>
    <w:rsid w:val="00737DB8"/>
    <w:rsid w:val="0074015E"/>
    <w:rsid w:val="00747260"/>
    <w:rsid w:val="00747317"/>
    <w:rsid w:val="00751746"/>
    <w:rsid w:val="0075410D"/>
    <w:rsid w:val="0075629B"/>
    <w:rsid w:val="00756791"/>
    <w:rsid w:val="007601C4"/>
    <w:rsid w:val="0076374F"/>
    <w:rsid w:val="00773154"/>
    <w:rsid w:val="00776556"/>
    <w:rsid w:val="0078003E"/>
    <w:rsid w:val="0078143D"/>
    <w:rsid w:val="007832FD"/>
    <w:rsid w:val="007844F9"/>
    <w:rsid w:val="00787365"/>
    <w:rsid w:val="00792289"/>
    <w:rsid w:val="00795B14"/>
    <w:rsid w:val="007A7DCE"/>
    <w:rsid w:val="007B110B"/>
    <w:rsid w:val="007B6215"/>
    <w:rsid w:val="007B6ADD"/>
    <w:rsid w:val="007C44F7"/>
    <w:rsid w:val="007C4EDA"/>
    <w:rsid w:val="007D09B8"/>
    <w:rsid w:val="007D3227"/>
    <w:rsid w:val="007D38B1"/>
    <w:rsid w:val="007D6DFB"/>
    <w:rsid w:val="007E0DD2"/>
    <w:rsid w:val="007E3B1C"/>
    <w:rsid w:val="007E7CBF"/>
    <w:rsid w:val="007F28F8"/>
    <w:rsid w:val="007F2EC3"/>
    <w:rsid w:val="007F3E79"/>
    <w:rsid w:val="007F48EB"/>
    <w:rsid w:val="007F591E"/>
    <w:rsid w:val="007F5D27"/>
    <w:rsid w:val="007F7289"/>
    <w:rsid w:val="00800232"/>
    <w:rsid w:val="0080410E"/>
    <w:rsid w:val="0081060B"/>
    <w:rsid w:val="008133C3"/>
    <w:rsid w:val="0081487B"/>
    <w:rsid w:val="0081490B"/>
    <w:rsid w:val="00817AC7"/>
    <w:rsid w:val="008275FE"/>
    <w:rsid w:val="00832349"/>
    <w:rsid w:val="00836BC7"/>
    <w:rsid w:val="0083722A"/>
    <w:rsid w:val="0084026A"/>
    <w:rsid w:val="0084190B"/>
    <w:rsid w:val="00842EE5"/>
    <w:rsid w:val="008435F0"/>
    <w:rsid w:val="00843C86"/>
    <w:rsid w:val="00845032"/>
    <w:rsid w:val="008458A2"/>
    <w:rsid w:val="008514EA"/>
    <w:rsid w:val="00851D10"/>
    <w:rsid w:val="008531C5"/>
    <w:rsid w:val="00857CEF"/>
    <w:rsid w:val="008615F0"/>
    <w:rsid w:val="0086242F"/>
    <w:rsid w:val="00870240"/>
    <w:rsid w:val="0087468C"/>
    <w:rsid w:val="00874928"/>
    <w:rsid w:val="00875BF9"/>
    <w:rsid w:val="00875C47"/>
    <w:rsid w:val="00880A51"/>
    <w:rsid w:val="00881320"/>
    <w:rsid w:val="00881386"/>
    <w:rsid w:val="00894A06"/>
    <w:rsid w:val="00895878"/>
    <w:rsid w:val="008974CE"/>
    <w:rsid w:val="008A2FD5"/>
    <w:rsid w:val="008A3F98"/>
    <w:rsid w:val="008A5408"/>
    <w:rsid w:val="008B44D1"/>
    <w:rsid w:val="008B47F1"/>
    <w:rsid w:val="008C50CE"/>
    <w:rsid w:val="008C6936"/>
    <w:rsid w:val="008E0A17"/>
    <w:rsid w:val="008E4C3A"/>
    <w:rsid w:val="008F2F2E"/>
    <w:rsid w:val="00912A38"/>
    <w:rsid w:val="00912F36"/>
    <w:rsid w:val="00913E8E"/>
    <w:rsid w:val="009200E4"/>
    <w:rsid w:val="009251F1"/>
    <w:rsid w:val="009327A8"/>
    <w:rsid w:val="00937AE5"/>
    <w:rsid w:val="009430D1"/>
    <w:rsid w:val="00945BBE"/>
    <w:rsid w:val="009560FF"/>
    <w:rsid w:val="0095678E"/>
    <w:rsid w:val="00956DDA"/>
    <w:rsid w:val="009577E7"/>
    <w:rsid w:val="0096100A"/>
    <w:rsid w:val="00961659"/>
    <w:rsid w:val="009671E3"/>
    <w:rsid w:val="00967A8F"/>
    <w:rsid w:val="0097050D"/>
    <w:rsid w:val="00970A2B"/>
    <w:rsid w:val="009870CF"/>
    <w:rsid w:val="009900D2"/>
    <w:rsid w:val="0099623D"/>
    <w:rsid w:val="00997CF1"/>
    <w:rsid w:val="009A1069"/>
    <w:rsid w:val="009A2927"/>
    <w:rsid w:val="009A6A8B"/>
    <w:rsid w:val="009A6D5D"/>
    <w:rsid w:val="009A7569"/>
    <w:rsid w:val="009A786F"/>
    <w:rsid w:val="009A7D26"/>
    <w:rsid w:val="009B2C77"/>
    <w:rsid w:val="009B2E92"/>
    <w:rsid w:val="009B3585"/>
    <w:rsid w:val="009C25CC"/>
    <w:rsid w:val="009C6335"/>
    <w:rsid w:val="009D4AA6"/>
    <w:rsid w:val="009E0267"/>
    <w:rsid w:val="009E5F5B"/>
    <w:rsid w:val="009F7500"/>
    <w:rsid w:val="00A01853"/>
    <w:rsid w:val="00A018D4"/>
    <w:rsid w:val="00A0428D"/>
    <w:rsid w:val="00A05304"/>
    <w:rsid w:val="00A134DB"/>
    <w:rsid w:val="00A15513"/>
    <w:rsid w:val="00A24900"/>
    <w:rsid w:val="00A270E1"/>
    <w:rsid w:val="00A32F97"/>
    <w:rsid w:val="00A33D65"/>
    <w:rsid w:val="00A43659"/>
    <w:rsid w:val="00A44769"/>
    <w:rsid w:val="00A50986"/>
    <w:rsid w:val="00A51E29"/>
    <w:rsid w:val="00A533BB"/>
    <w:rsid w:val="00A5426B"/>
    <w:rsid w:val="00A64AC5"/>
    <w:rsid w:val="00A6635F"/>
    <w:rsid w:val="00A67D2F"/>
    <w:rsid w:val="00A732C7"/>
    <w:rsid w:val="00A83D99"/>
    <w:rsid w:val="00A84852"/>
    <w:rsid w:val="00A904A4"/>
    <w:rsid w:val="00A944D5"/>
    <w:rsid w:val="00A96038"/>
    <w:rsid w:val="00AA05E8"/>
    <w:rsid w:val="00AA2FD2"/>
    <w:rsid w:val="00AB6B66"/>
    <w:rsid w:val="00AC606E"/>
    <w:rsid w:val="00AC64E2"/>
    <w:rsid w:val="00AC6A14"/>
    <w:rsid w:val="00AD3F98"/>
    <w:rsid w:val="00AE1693"/>
    <w:rsid w:val="00AF2838"/>
    <w:rsid w:val="00AF2D09"/>
    <w:rsid w:val="00AF5AFF"/>
    <w:rsid w:val="00B000E4"/>
    <w:rsid w:val="00B03748"/>
    <w:rsid w:val="00B03FAA"/>
    <w:rsid w:val="00B1187F"/>
    <w:rsid w:val="00B11F06"/>
    <w:rsid w:val="00B126D5"/>
    <w:rsid w:val="00B1301A"/>
    <w:rsid w:val="00B1378D"/>
    <w:rsid w:val="00B260D6"/>
    <w:rsid w:val="00B333F3"/>
    <w:rsid w:val="00B450BE"/>
    <w:rsid w:val="00B456B8"/>
    <w:rsid w:val="00B54A9C"/>
    <w:rsid w:val="00B55761"/>
    <w:rsid w:val="00B56592"/>
    <w:rsid w:val="00B60C3B"/>
    <w:rsid w:val="00B64271"/>
    <w:rsid w:val="00B77ABD"/>
    <w:rsid w:val="00B86493"/>
    <w:rsid w:val="00B90569"/>
    <w:rsid w:val="00B90CA1"/>
    <w:rsid w:val="00B9117D"/>
    <w:rsid w:val="00BA4CCF"/>
    <w:rsid w:val="00BB5A3D"/>
    <w:rsid w:val="00BC7173"/>
    <w:rsid w:val="00BE1DED"/>
    <w:rsid w:val="00BE5237"/>
    <w:rsid w:val="00BF2554"/>
    <w:rsid w:val="00BF537A"/>
    <w:rsid w:val="00BF764D"/>
    <w:rsid w:val="00BF7843"/>
    <w:rsid w:val="00C0063B"/>
    <w:rsid w:val="00C007A7"/>
    <w:rsid w:val="00C01D8D"/>
    <w:rsid w:val="00C022EB"/>
    <w:rsid w:val="00C04A48"/>
    <w:rsid w:val="00C05D9B"/>
    <w:rsid w:val="00C06B50"/>
    <w:rsid w:val="00C06C4D"/>
    <w:rsid w:val="00C1085F"/>
    <w:rsid w:val="00C11E3F"/>
    <w:rsid w:val="00C1401C"/>
    <w:rsid w:val="00C23648"/>
    <w:rsid w:val="00C3267F"/>
    <w:rsid w:val="00C329C6"/>
    <w:rsid w:val="00C44670"/>
    <w:rsid w:val="00C47A11"/>
    <w:rsid w:val="00C51336"/>
    <w:rsid w:val="00C57998"/>
    <w:rsid w:val="00C6020D"/>
    <w:rsid w:val="00C62CDE"/>
    <w:rsid w:val="00C711BB"/>
    <w:rsid w:val="00C753CA"/>
    <w:rsid w:val="00C7665F"/>
    <w:rsid w:val="00C84C29"/>
    <w:rsid w:val="00C9067B"/>
    <w:rsid w:val="00C956A6"/>
    <w:rsid w:val="00C9744F"/>
    <w:rsid w:val="00CA765F"/>
    <w:rsid w:val="00CB4524"/>
    <w:rsid w:val="00CB4FE0"/>
    <w:rsid w:val="00CB634B"/>
    <w:rsid w:val="00CC3D3E"/>
    <w:rsid w:val="00CC6070"/>
    <w:rsid w:val="00CD2384"/>
    <w:rsid w:val="00CD2D47"/>
    <w:rsid w:val="00CE1274"/>
    <w:rsid w:val="00CE1A30"/>
    <w:rsid w:val="00CE1D0A"/>
    <w:rsid w:val="00CE3B3A"/>
    <w:rsid w:val="00CE67E4"/>
    <w:rsid w:val="00D00CE2"/>
    <w:rsid w:val="00D01D4F"/>
    <w:rsid w:val="00D05541"/>
    <w:rsid w:val="00D068DF"/>
    <w:rsid w:val="00D07287"/>
    <w:rsid w:val="00D10A0A"/>
    <w:rsid w:val="00D2234B"/>
    <w:rsid w:val="00D23AFD"/>
    <w:rsid w:val="00D331CD"/>
    <w:rsid w:val="00D35FF9"/>
    <w:rsid w:val="00D44DBE"/>
    <w:rsid w:val="00D44F3E"/>
    <w:rsid w:val="00D45DFD"/>
    <w:rsid w:val="00D51C75"/>
    <w:rsid w:val="00D52239"/>
    <w:rsid w:val="00D55E75"/>
    <w:rsid w:val="00D573CD"/>
    <w:rsid w:val="00D610C7"/>
    <w:rsid w:val="00D631F0"/>
    <w:rsid w:val="00D63765"/>
    <w:rsid w:val="00D72BF2"/>
    <w:rsid w:val="00D73505"/>
    <w:rsid w:val="00D7472B"/>
    <w:rsid w:val="00D9389E"/>
    <w:rsid w:val="00DA01A8"/>
    <w:rsid w:val="00DA02A0"/>
    <w:rsid w:val="00DA3D9F"/>
    <w:rsid w:val="00DA5122"/>
    <w:rsid w:val="00DA5429"/>
    <w:rsid w:val="00DC1BC4"/>
    <w:rsid w:val="00DC4BAF"/>
    <w:rsid w:val="00DD3809"/>
    <w:rsid w:val="00DD5DC9"/>
    <w:rsid w:val="00DD67B7"/>
    <w:rsid w:val="00DE161D"/>
    <w:rsid w:val="00DF1AEB"/>
    <w:rsid w:val="00DF3DDC"/>
    <w:rsid w:val="00DF406B"/>
    <w:rsid w:val="00DF5F21"/>
    <w:rsid w:val="00E00384"/>
    <w:rsid w:val="00E00E83"/>
    <w:rsid w:val="00E01A14"/>
    <w:rsid w:val="00E01ED2"/>
    <w:rsid w:val="00E035D3"/>
    <w:rsid w:val="00E041C4"/>
    <w:rsid w:val="00E13902"/>
    <w:rsid w:val="00E13A37"/>
    <w:rsid w:val="00E14778"/>
    <w:rsid w:val="00E227CD"/>
    <w:rsid w:val="00E22E66"/>
    <w:rsid w:val="00E30611"/>
    <w:rsid w:val="00E33EA5"/>
    <w:rsid w:val="00E35ED0"/>
    <w:rsid w:val="00E41A6E"/>
    <w:rsid w:val="00E43E17"/>
    <w:rsid w:val="00E4611E"/>
    <w:rsid w:val="00E4740D"/>
    <w:rsid w:val="00E50C3E"/>
    <w:rsid w:val="00E56293"/>
    <w:rsid w:val="00E64545"/>
    <w:rsid w:val="00E6638A"/>
    <w:rsid w:val="00E70C61"/>
    <w:rsid w:val="00E71954"/>
    <w:rsid w:val="00E749B4"/>
    <w:rsid w:val="00E77F21"/>
    <w:rsid w:val="00E80450"/>
    <w:rsid w:val="00E902CF"/>
    <w:rsid w:val="00E90CE8"/>
    <w:rsid w:val="00E91B83"/>
    <w:rsid w:val="00E91FAA"/>
    <w:rsid w:val="00E9351A"/>
    <w:rsid w:val="00E94D6A"/>
    <w:rsid w:val="00E954BA"/>
    <w:rsid w:val="00EA5F33"/>
    <w:rsid w:val="00EA604D"/>
    <w:rsid w:val="00EB1EEA"/>
    <w:rsid w:val="00EB287B"/>
    <w:rsid w:val="00EB3DEF"/>
    <w:rsid w:val="00EB7066"/>
    <w:rsid w:val="00EB71C2"/>
    <w:rsid w:val="00EB7AC5"/>
    <w:rsid w:val="00EC0FDD"/>
    <w:rsid w:val="00ED507A"/>
    <w:rsid w:val="00ED60A6"/>
    <w:rsid w:val="00ED792B"/>
    <w:rsid w:val="00EE0DD9"/>
    <w:rsid w:val="00EF5F77"/>
    <w:rsid w:val="00F0301C"/>
    <w:rsid w:val="00F0502B"/>
    <w:rsid w:val="00F07719"/>
    <w:rsid w:val="00F07E7D"/>
    <w:rsid w:val="00F1105F"/>
    <w:rsid w:val="00F11986"/>
    <w:rsid w:val="00F13736"/>
    <w:rsid w:val="00F15D96"/>
    <w:rsid w:val="00F15E55"/>
    <w:rsid w:val="00F15F51"/>
    <w:rsid w:val="00F2078D"/>
    <w:rsid w:val="00F21FDE"/>
    <w:rsid w:val="00F32D2A"/>
    <w:rsid w:val="00F337CC"/>
    <w:rsid w:val="00F34C4A"/>
    <w:rsid w:val="00F35BBC"/>
    <w:rsid w:val="00F35E47"/>
    <w:rsid w:val="00F4250C"/>
    <w:rsid w:val="00F43C0C"/>
    <w:rsid w:val="00F46DA2"/>
    <w:rsid w:val="00F50848"/>
    <w:rsid w:val="00F50B9D"/>
    <w:rsid w:val="00F50E0A"/>
    <w:rsid w:val="00F55D47"/>
    <w:rsid w:val="00F62E62"/>
    <w:rsid w:val="00F67AA0"/>
    <w:rsid w:val="00F73A0B"/>
    <w:rsid w:val="00F841D1"/>
    <w:rsid w:val="00F864D0"/>
    <w:rsid w:val="00F8780D"/>
    <w:rsid w:val="00F9133F"/>
    <w:rsid w:val="00F9763C"/>
    <w:rsid w:val="00FA145F"/>
    <w:rsid w:val="00FA15A4"/>
    <w:rsid w:val="00FA2A03"/>
    <w:rsid w:val="00FB12FF"/>
    <w:rsid w:val="00FB25BE"/>
    <w:rsid w:val="00FC07CC"/>
    <w:rsid w:val="00FC2814"/>
    <w:rsid w:val="00FC47C4"/>
    <w:rsid w:val="00FD35DF"/>
    <w:rsid w:val="00FD5C61"/>
    <w:rsid w:val="00FD7525"/>
    <w:rsid w:val="00FD78BA"/>
    <w:rsid w:val="00FE00D3"/>
    <w:rsid w:val="00FE76F5"/>
    <w:rsid w:val="00FF200B"/>
    <w:rsid w:val="00FF4953"/>
    <w:rsid w:val="00FF7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78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Simplified Arabic"/>
        <w:lang w:val="en-GB"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E2D46"/>
    <w:pPr>
      <w:spacing w:after="240" w:line="288" w:lineRule="auto"/>
      <w:jc w:val="both"/>
    </w:pPr>
    <w:rPr>
      <w:sz w:val="24"/>
      <w:szCs w:val="24"/>
      <w:lang w:bidi="ar-AE"/>
    </w:rPr>
  </w:style>
  <w:style w:type="paragraph" w:styleId="Heading1">
    <w:name w:val="heading 1"/>
    <w:basedOn w:val="Normal"/>
    <w:next w:val="BodyText"/>
    <w:link w:val="Heading1Char"/>
    <w:qFormat/>
    <w:rsid w:val="00F46DA2"/>
    <w:pPr>
      <w:outlineLvl w:val="0"/>
    </w:pPr>
  </w:style>
  <w:style w:type="paragraph" w:styleId="Heading2">
    <w:name w:val="heading 2"/>
    <w:basedOn w:val="Normal"/>
    <w:next w:val="BodyText"/>
    <w:link w:val="Heading2Char"/>
    <w:qFormat/>
    <w:rsid w:val="00F46DA2"/>
    <w:pPr>
      <w:outlineLvl w:val="1"/>
    </w:pPr>
  </w:style>
  <w:style w:type="paragraph" w:styleId="Heading3">
    <w:name w:val="heading 3"/>
    <w:basedOn w:val="Heading2"/>
    <w:next w:val="BodyText"/>
    <w:link w:val="Heading3Char"/>
    <w:rsid w:val="00F46DA2"/>
    <w:pPr>
      <w:outlineLvl w:val="2"/>
    </w:pPr>
  </w:style>
  <w:style w:type="paragraph" w:styleId="Heading4">
    <w:name w:val="heading 4"/>
    <w:basedOn w:val="Normal"/>
    <w:next w:val="BodyText"/>
    <w:link w:val="Heading4Char"/>
    <w:rsid w:val="00F46DA2"/>
    <w:pPr>
      <w:outlineLvl w:val="3"/>
    </w:pPr>
  </w:style>
  <w:style w:type="paragraph" w:styleId="Heading5">
    <w:name w:val="heading 5"/>
    <w:basedOn w:val="Normal"/>
    <w:next w:val="BodyText"/>
    <w:link w:val="Heading5Char"/>
    <w:rsid w:val="00F46DA2"/>
    <w:pPr>
      <w:outlineLvl w:val="4"/>
    </w:pPr>
  </w:style>
  <w:style w:type="paragraph" w:styleId="Heading6">
    <w:name w:val="heading 6"/>
    <w:basedOn w:val="Normal"/>
    <w:next w:val="BodyText"/>
    <w:link w:val="Heading6Char"/>
    <w:rsid w:val="00F46DA2"/>
    <w:pPr>
      <w:outlineLvl w:val="5"/>
    </w:pPr>
  </w:style>
  <w:style w:type="paragraph" w:styleId="Heading7">
    <w:name w:val="heading 7"/>
    <w:basedOn w:val="Normal"/>
    <w:next w:val="BodyText"/>
    <w:link w:val="Heading7Char"/>
    <w:rsid w:val="00F46DA2"/>
    <w:pPr>
      <w:outlineLvl w:val="6"/>
    </w:pPr>
  </w:style>
  <w:style w:type="paragraph" w:styleId="Heading8">
    <w:name w:val="heading 8"/>
    <w:basedOn w:val="Normal"/>
    <w:next w:val="BodyText"/>
    <w:link w:val="Heading8Char"/>
    <w:rsid w:val="00F46DA2"/>
    <w:pPr>
      <w:outlineLvl w:val="7"/>
    </w:pPr>
  </w:style>
  <w:style w:type="paragraph" w:styleId="Heading9">
    <w:name w:val="heading 9"/>
    <w:basedOn w:val="Normal"/>
    <w:next w:val="BodyText"/>
    <w:link w:val="Heading9Char"/>
    <w:rsid w:val="00F46DA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qFormat/>
    <w:rsid w:val="00F46DA2"/>
    <w:pPr>
      <w:jc w:val="both"/>
    </w:pPr>
    <w:rPr>
      <w:sz w:val="24"/>
      <w:szCs w:val="24"/>
      <w:lang w:bidi="he-IL"/>
    </w:rPr>
  </w:style>
  <w:style w:type="character" w:customStyle="1" w:styleId="HeaderChar">
    <w:name w:val="Header Char"/>
    <w:basedOn w:val="DefaultParagraphFont"/>
    <w:link w:val="Header"/>
    <w:uiPriority w:val="99"/>
    <w:rsid w:val="006A68DF"/>
    <w:rPr>
      <w:sz w:val="24"/>
      <w:szCs w:val="24"/>
      <w:lang w:val="en-GB" w:eastAsia="zh-CN" w:bidi="he-IL"/>
    </w:rPr>
  </w:style>
  <w:style w:type="paragraph" w:styleId="Footer">
    <w:name w:val="footer"/>
    <w:link w:val="FooterChar"/>
    <w:uiPriority w:val="99"/>
    <w:qFormat/>
    <w:rsid w:val="00F43C0C"/>
    <w:rPr>
      <w:rFonts w:cs="Times New Roman"/>
      <w:sz w:val="16"/>
      <w:szCs w:val="16"/>
      <w:lang w:bidi="he-IL"/>
    </w:rPr>
  </w:style>
  <w:style w:type="character" w:customStyle="1" w:styleId="FooterChar">
    <w:name w:val="Footer Char"/>
    <w:basedOn w:val="DefaultParagraphFont"/>
    <w:link w:val="Footer"/>
    <w:uiPriority w:val="99"/>
    <w:rsid w:val="006A68DF"/>
    <w:rPr>
      <w:rFonts w:cs="Times New Roman"/>
      <w:sz w:val="16"/>
      <w:szCs w:val="16"/>
      <w:lang w:bidi="he-IL"/>
    </w:rPr>
  </w:style>
  <w:style w:type="paragraph" w:customStyle="1" w:styleId="LegalEntity">
    <w:name w:val="LegalEntity"/>
    <w:next w:val="LegalEntityNB"/>
    <w:rsid w:val="00F46DA2"/>
    <w:pPr>
      <w:spacing w:line="288" w:lineRule="auto"/>
    </w:pPr>
    <w:rPr>
      <w:rFonts w:ascii="Arial Black" w:hAnsi="Arial Black"/>
      <w:bCs/>
      <w:caps/>
      <w:spacing w:val="6"/>
      <w:sz w:val="14"/>
      <w:szCs w:val="14"/>
      <w:lang w:bidi="ar-AE"/>
    </w:rPr>
  </w:style>
  <w:style w:type="paragraph" w:customStyle="1" w:styleId="LegalEntityNB">
    <w:name w:val="LegalEntityNB"/>
    <w:basedOn w:val="LegalEntity"/>
    <w:next w:val="Normal"/>
    <w:semiHidden/>
    <w:rsid w:val="00F46DA2"/>
    <w:rPr>
      <w:rFonts w:ascii="Arial" w:hAnsi="Arial"/>
      <w:bCs w:val="0"/>
    </w:rPr>
  </w:style>
  <w:style w:type="paragraph" w:customStyle="1" w:styleId="AddressBreak">
    <w:name w:val="AddressBreak"/>
    <w:next w:val="Normal"/>
    <w:semiHidden/>
    <w:rsid w:val="00F46DA2"/>
    <w:rPr>
      <w:rFonts w:ascii="Arial" w:hAnsi="Arial"/>
      <w:sz w:val="8"/>
      <w:szCs w:val="8"/>
      <w:lang w:bidi="he-IL"/>
    </w:rPr>
  </w:style>
  <w:style w:type="paragraph" w:customStyle="1" w:styleId="Addressee">
    <w:name w:val="Addressee"/>
    <w:basedOn w:val="Normal"/>
    <w:rsid w:val="00F46DA2"/>
    <w:pPr>
      <w:spacing w:after="0"/>
      <w:jc w:val="left"/>
    </w:pPr>
  </w:style>
  <w:style w:type="paragraph" w:customStyle="1" w:styleId="BGHStandard">
    <w:name w:val="BGH Standard"/>
    <w:basedOn w:val="Normal"/>
    <w:semiHidden/>
    <w:unhideWhenUsed/>
    <w:rsid w:val="00F46DA2"/>
    <w:pPr>
      <w:spacing w:line="360" w:lineRule="atLeast"/>
      <w:ind w:left="1985"/>
    </w:pPr>
    <w:rPr>
      <w:lang w:eastAsia="en-GB"/>
    </w:rPr>
  </w:style>
  <w:style w:type="paragraph" w:styleId="BodyText">
    <w:name w:val="Body Text"/>
    <w:basedOn w:val="Normal"/>
    <w:link w:val="BodyTextChar"/>
    <w:qFormat/>
    <w:rsid w:val="00F46DA2"/>
    <w:rPr>
      <w:lang w:eastAsia="en-GB"/>
    </w:rPr>
  </w:style>
  <w:style w:type="character" w:customStyle="1" w:styleId="BodyTextChar">
    <w:name w:val="Body Text Char"/>
    <w:basedOn w:val="DefaultParagraphFont"/>
    <w:link w:val="BodyText"/>
    <w:rsid w:val="00F46DA2"/>
    <w:rPr>
      <w:rFonts w:ascii="Times New Roman" w:eastAsia="SimSun" w:hAnsi="Times New Roman" w:cs="Simplified Arabic"/>
      <w:sz w:val="24"/>
      <w:szCs w:val="24"/>
      <w:lang w:eastAsia="en-GB" w:bidi="ar-AE"/>
    </w:rPr>
  </w:style>
  <w:style w:type="paragraph" w:customStyle="1" w:styleId="BodyText1">
    <w:name w:val="Body Text 1"/>
    <w:basedOn w:val="Normal"/>
    <w:qFormat/>
    <w:rsid w:val="00F46DA2"/>
    <w:pPr>
      <w:ind w:left="720"/>
    </w:pPr>
    <w:rPr>
      <w:lang w:eastAsia="en-GB"/>
    </w:rPr>
  </w:style>
  <w:style w:type="paragraph" w:styleId="BodyText2">
    <w:name w:val="Body Text 2"/>
    <w:basedOn w:val="Normal"/>
    <w:link w:val="BodyText2Char"/>
    <w:qFormat/>
    <w:rsid w:val="00F46DA2"/>
    <w:pPr>
      <w:ind w:left="1440"/>
    </w:pPr>
    <w:rPr>
      <w:lang w:eastAsia="en-GB"/>
    </w:rPr>
  </w:style>
  <w:style w:type="character" w:customStyle="1" w:styleId="BodyText2Char">
    <w:name w:val="Body Text 2 Char"/>
    <w:basedOn w:val="DefaultParagraphFont"/>
    <w:link w:val="BodyText2"/>
    <w:rsid w:val="00F46DA2"/>
    <w:rPr>
      <w:rFonts w:ascii="Times New Roman" w:eastAsia="SimSun" w:hAnsi="Times New Roman" w:cs="Simplified Arabic"/>
      <w:sz w:val="24"/>
      <w:szCs w:val="24"/>
      <w:lang w:eastAsia="en-GB" w:bidi="ar-AE"/>
    </w:rPr>
  </w:style>
  <w:style w:type="paragraph" w:styleId="BodyText3">
    <w:name w:val="Body Text 3"/>
    <w:basedOn w:val="Normal"/>
    <w:link w:val="BodyText3Char"/>
    <w:qFormat/>
    <w:rsid w:val="00F46DA2"/>
    <w:pPr>
      <w:ind w:left="2160"/>
    </w:pPr>
    <w:rPr>
      <w:lang w:eastAsia="en-GB"/>
    </w:rPr>
  </w:style>
  <w:style w:type="character" w:customStyle="1" w:styleId="BodyText3Char">
    <w:name w:val="Body Text 3 Char"/>
    <w:basedOn w:val="DefaultParagraphFont"/>
    <w:link w:val="BodyText3"/>
    <w:rsid w:val="00F46DA2"/>
    <w:rPr>
      <w:rFonts w:ascii="Times New Roman" w:eastAsia="SimSun" w:hAnsi="Times New Roman" w:cs="Simplified Arabic"/>
      <w:sz w:val="24"/>
      <w:szCs w:val="24"/>
      <w:lang w:eastAsia="en-GB" w:bidi="ar-AE"/>
    </w:rPr>
  </w:style>
  <w:style w:type="paragraph" w:customStyle="1" w:styleId="BodyText4">
    <w:name w:val="Body Text 4"/>
    <w:basedOn w:val="Normal"/>
    <w:rsid w:val="00F46DA2"/>
    <w:pPr>
      <w:ind w:left="2880"/>
    </w:pPr>
    <w:rPr>
      <w:lang w:eastAsia="en-GB"/>
    </w:rPr>
  </w:style>
  <w:style w:type="paragraph" w:customStyle="1" w:styleId="BodyText5">
    <w:name w:val="Body Text 5"/>
    <w:basedOn w:val="Normal"/>
    <w:rsid w:val="00F46DA2"/>
    <w:pPr>
      <w:ind w:left="3600"/>
    </w:pPr>
    <w:rPr>
      <w:lang w:eastAsia="en-GB"/>
    </w:rPr>
  </w:style>
  <w:style w:type="paragraph" w:customStyle="1" w:styleId="BodyText6">
    <w:name w:val="Body Text 6"/>
    <w:basedOn w:val="Normal"/>
    <w:rsid w:val="00F46DA2"/>
    <w:pPr>
      <w:ind w:left="4320"/>
    </w:pPr>
    <w:rPr>
      <w:lang w:eastAsia="en-GB"/>
    </w:rPr>
  </w:style>
  <w:style w:type="paragraph" w:customStyle="1" w:styleId="BodyText7">
    <w:name w:val="Body Text 7"/>
    <w:basedOn w:val="Normal"/>
    <w:rsid w:val="00F46DA2"/>
    <w:pPr>
      <w:ind w:left="5041"/>
    </w:pPr>
    <w:rPr>
      <w:lang w:eastAsia="en-GB"/>
    </w:rPr>
  </w:style>
  <w:style w:type="paragraph" w:styleId="BodyTextFirstIndent">
    <w:name w:val="Body Text First Indent"/>
    <w:basedOn w:val="BodyText"/>
    <w:link w:val="BodyTextFirstIndentChar"/>
    <w:qFormat/>
    <w:rsid w:val="00F46DA2"/>
    <w:pPr>
      <w:ind w:firstLine="720"/>
    </w:pPr>
  </w:style>
  <w:style w:type="character" w:customStyle="1" w:styleId="BodyTextFirstIndentChar">
    <w:name w:val="Body Text First Indent Char"/>
    <w:basedOn w:val="BodyTextChar"/>
    <w:link w:val="BodyTextFirstIndent"/>
    <w:rsid w:val="00F46DA2"/>
    <w:rPr>
      <w:rFonts w:ascii="Times New Roman" w:eastAsia="SimSun" w:hAnsi="Times New Roman" w:cs="Simplified Arabic"/>
      <w:sz w:val="24"/>
      <w:szCs w:val="24"/>
      <w:lang w:eastAsia="en-GB" w:bidi="ar-AE"/>
    </w:rPr>
  </w:style>
  <w:style w:type="paragraph" w:styleId="BodyTextIndent">
    <w:name w:val="Body Text Indent"/>
    <w:basedOn w:val="Normal"/>
    <w:link w:val="BodyTextIndentChar"/>
    <w:uiPriority w:val="99"/>
    <w:semiHidden/>
    <w:unhideWhenUsed/>
    <w:rsid w:val="00F46DA2"/>
    <w:pPr>
      <w:spacing w:after="120"/>
      <w:ind w:left="283"/>
    </w:pPr>
  </w:style>
  <w:style w:type="character" w:customStyle="1" w:styleId="BodyTextIndentChar">
    <w:name w:val="Body Text Indent Char"/>
    <w:basedOn w:val="DefaultParagraphFont"/>
    <w:link w:val="BodyTextIndent"/>
    <w:uiPriority w:val="99"/>
    <w:semiHidden/>
    <w:rsid w:val="00F46DA2"/>
    <w:rPr>
      <w:rFonts w:ascii="Times New Roman" w:eastAsia="SimSun" w:hAnsi="Times New Roman" w:cs="Simplified Arabic"/>
      <w:sz w:val="24"/>
      <w:szCs w:val="24"/>
      <w:lang w:bidi="ar-AE"/>
    </w:rPr>
  </w:style>
  <w:style w:type="paragraph" w:styleId="BodyTextFirstIndent2">
    <w:name w:val="Body Text First Indent 2"/>
    <w:basedOn w:val="BodyTextFirstIndent"/>
    <w:link w:val="BodyTextFirstIndent2Char"/>
    <w:qFormat/>
    <w:rsid w:val="00F46DA2"/>
    <w:pPr>
      <w:ind w:firstLine="1440"/>
    </w:pPr>
  </w:style>
  <w:style w:type="character" w:customStyle="1" w:styleId="BodyTextFirstIndent2Char">
    <w:name w:val="Body Text First Indent 2 Char"/>
    <w:basedOn w:val="BodyTextIndentChar"/>
    <w:link w:val="BodyTextFirstIndent2"/>
    <w:rsid w:val="00F46DA2"/>
    <w:rPr>
      <w:rFonts w:ascii="Times New Roman" w:eastAsia="SimSun" w:hAnsi="Times New Roman" w:cs="Simplified Arabic"/>
      <w:sz w:val="24"/>
      <w:szCs w:val="24"/>
      <w:lang w:eastAsia="en-GB" w:bidi="ar-AE"/>
    </w:rPr>
  </w:style>
  <w:style w:type="character" w:styleId="CommentReference">
    <w:name w:val="annotation reference"/>
    <w:basedOn w:val="DefaultParagraphFont"/>
    <w:uiPriority w:val="99"/>
    <w:semiHidden/>
    <w:unhideWhenUsed/>
    <w:rsid w:val="00F46DA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unhideWhenUsed/>
    <w:rsid w:val="00F46DA2"/>
    <w:pPr>
      <w:spacing w:after="120"/>
    </w:pPr>
    <w:rPr>
      <w:sz w:val="20"/>
      <w:szCs w:val="20"/>
    </w:rPr>
  </w:style>
  <w:style w:type="character" w:customStyle="1" w:styleId="CommentTextChar">
    <w:name w:val="Comment Text Char"/>
    <w:basedOn w:val="DefaultParagraphFont"/>
    <w:link w:val="CommentText"/>
    <w:uiPriority w:val="99"/>
    <w:semiHidden/>
    <w:rsid w:val="00F46DA2"/>
    <w:rPr>
      <w:rFonts w:ascii="Times New Roman" w:eastAsia="SimSun" w:hAnsi="Times New Roman" w:cs="Simplified Arabic"/>
      <w:sz w:val="20"/>
      <w:szCs w:val="20"/>
      <w:lang w:bidi="ar-AE"/>
    </w:rPr>
  </w:style>
  <w:style w:type="paragraph" w:styleId="CommentSubject">
    <w:name w:val="annotation subject"/>
    <w:basedOn w:val="CommentText"/>
    <w:next w:val="CommentText"/>
    <w:link w:val="CommentSubjectChar"/>
    <w:uiPriority w:val="99"/>
    <w:semiHidden/>
    <w:unhideWhenUsed/>
    <w:rsid w:val="00F46DA2"/>
    <w:pPr>
      <w:spacing w:after="240"/>
    </w:pPr>
    <w:rPr>
      <w:b/>
      <w:bCs/>
    </w:rPr>
  </w:style>
  <w:style w:type="character" w:customStyle="1" w:styleId="CommentSubjectChar">
    <w:name w:val="Comment Subject Char"/>
    <w:basedOn w:val="CommentTextChar"/>
    <w:link w:val="CommentSubject"/>
    <w:uiPriority w:val="99"/>
    <w:semiHidden/>
    <w:rsid w:val="00F46DA2"/>
    <w:rPr>
      <w:rFonts w:ascii="Times New Roman" w:eastAsia="SimSun" w:hAnsi="Times New Roman" w:cs="Simplified Arabic"/>
      <w:b/>
      <w:bCs/>
      <w:sz w:val="20"/>
      <w:szCs w:val="20"/>
      <w:lang w:bidi="ar-AE"/>
    </w:rPr>
  </w:style>
  <w:style w:type="paragraph" w:customStyle="1" w:styleId="DocLabels">
    <w:name w:val="DocLabels"/>
    <w:semiHidden/>
    <w:rsid w:val="00F46DA2"/>
    <w:pPr>
      <w:spacing w:before="100"/>
    </w:pPr>
    <w:rPr>
      <w:rFonts w:ascii="Arial" w:hAnsi="Arial"/>
      <w:caps/>
      <w:spacing w:val="12"/>
      <w:sz w:val="13"/>
      <w:szCs w:val="13"/>
      <w:lang w:bidi="ar-AE"/>
    </w:rPr>
  </w:style>
  <w:style w:type="paragraph" w:customStyle="1" w:styleId="DocType">
    <w:name w:val="DocType"/>
    <w:next w:val="Normal"/>
    <w:semiHidden/>
    <w:rsid w:val="00F46DA2"/>
    <w:pPr>
      <w:spacing w:before="240" w:after="240"/>
    </w:pPr>
    <w:rPr>
      <w:rFonts w:ascii="Arial" w:hAnsi="Arial"/>
      <w:b/>
      <w:bCs/>
      <w:sz w:val="24"/>
      <w:szCs w:val="24"/>
      <w:lang w:bidi="ar-AE"/>
    </w:rPr>
  </w:style>
  <w:style w:type="character" w:styleId="Emphasis">
    <w:name w:val="Emphasis"/>
    <w:uiPriority w:val="20"/>
    <w:qFormat/>
    <w:rsid w:val="00F46DA2"/>
    <w:rPr>
      <w:i/>
      <w:iCs/>
    </w:rPr>
  </w:style>
  <w:style w:type="paragraph" w:styleId="EndnoteText">
    <w:name w:val="endnote text"/>
    <w:basedOn w:val="Normal"/>
    <w:next w:val="NoteContinuation"/>
    <w:link w:val="EndnoteTextChar"/>
    <w:uiPriority w:val="1"/>
    <w:qFormat/>
    <w:rsid w:val="0049143A"/>
    <w:pPr>
      <w:spacing w:after="120"/>
      <w:ind w:left="340" w:hanging="340"/>
    </w:pPr>
    <w:rPr>
      <w:sz w:val="20"/>
      <w:szCs w:val="20"/>
    </w:rPr>
  </w:style>
  <w:style w:type="character" w:customStyle="1" w:styleId="EndnoteTextChar">
    <w:name w:val="Endnote Text Char"/>
    <w:basedOn w:val="DefaultParagraphFont"/>
    <w:link w:val="EndnoteText"/>
    <w:uiPriority w:val="1"/>
    <w:rsid w:val="00F46DA2"/>
    <w:rPr>
      <w:lang w:bidi="ar-AE"/>
    </w:rPr>
  </w:style>
  <w:style w:type="paragraph" w:customStyle="1" w:styleId="Endnote">
    <w:name w:val="Endnote"/>
    <w:basedOn w:val="EndnoteText"/>
    <w:qFormat/>
    <w:rsid w:val="00F46DA2"/>
  </w:style>
  <w:style w:type="character" w:styleId="EndnoteReference">
    <w:name w:val="endnote reference"/>
    <w:basedOn w:val="DefaultParagraphFont"/>
    <w:uiPriority w:val="99"/>
    <w:qFormat/>
    <w:rsid w:val="00F46DA2"/>
    <w:rPr>
      <w:rFonts w:ascii="Times New Roman" w:eastAsia="SimSun" w:hAnsi="Times New Roman" w:cs="Simplified Arabic"/>
      <w:sz w:val="18"/>
      <w:szCs w:val="18"/>
      <w:vertAlign w:val="superscript"/>
      <w:lang w:val="en-GB" w:bidi="ar-AE"/>
    </w:rPr>
  </w:style>
  <w:style w:type="paragraph" w:customStyle="1" w:styleId="FaxDetail">
    <w:name w:val="FaxDetail"/>
    <w:basedOn w:val="Normal"/>
    <w:semiHidden/>
    <w:qFormat/>
    <w:rsid w:val="00F46DA2"/>
    <w:pPr>
      <w:spacing w:after="40"/>
      <w:jc w:val="left"/>
    </w:pPr>
    <w:rPr>
      <w:sz w:val="21"/>
      <w:szCs w:val="21"/>
    </w:rPr>
  </w:style>
  <w:style w:type="paragraph" w:customStyle="1" w:styleId="FaxDetailRight">
    <w:name w:val="FaxDetailRight"/>
    <w:basedOn w:val="Normal"/>
    <w:semiHidden/>
    <w:qFormat/>
    <w:rsid w:val="00F46DA2"/>
    <w:pPr>
      <w:jc w:val="right"/>
    </w:pPr>
    <w:rPr>
      <w:rFonts w:cs="Times New Roman"/>
      <w:sz w:val="21"/>
      <w:szCs w:val="21"/>
      <w:lang w:bidi="he-IL"/>
    </w:rPr>
  </w:style>
  <w:style w:type="paragraph" w:customStyle="1" w:styleId="FooterRight">
    <w:name w:val="Footer Right"/>
    <w:basedOn w:val="Footer"/>
    <w:rsid w:val="00F46DA2"/>
    <w:pPr>
      <w:jc w:val="right"/>
    </w:pPr>
  </w:style>
  <w:style w:type="paragraph" w:styleId="FootnoteText">
    <w:name w:val="footnote text"/>
    <w:basedOn w:val="Normal"/>
    <w:next w:val="NoteContinuation"/>
    <w:link w:val="FootnoteTextChar"/>
    <w:uiPriority w:val="1"/>
    <w:qFormat/>
    <w:rsid w:val="0049143A"/>
    <w:pPr>
      <w:spacing w:after="120"/>
      <w:ind w:left="340" w:hanging="340"/>
    </w:pPr>
    <w:rPr>
      <w:sz w:val="20"/>
      <w:szCs w:val="20"/>
    </w:rPr>
  </w:style>
  <w:style w:type="character" w:customStyle="1" w:styleId="FootnoteTextChar">
    <w:name w:val="Footnote Text Char"/>
    <w:basedOn w:val="DefaultParagraphFont"/>
    <w:link w:val="FootnoteText"/>
    <w:uiPriority w:val="1"/>
    <w:rsid w:val="00F46DA2"/>
    <w:rPr>
      <w:lang w:bidi="ar-AE"/>
    </w:rPr>
  </w:style>
  <w:style w:type="paragraph" w:customStyle="1" w:styleId="Footnote">
    <w:name w:val="Footnote"/>
    <w:basedOn w:val="FootnoteText"/>
    <w:semiHidden/>
    <w:rsid w:val="00F46DA2"/>
    <w:pPr>
      <w:tabs>
        <w:tab w:val="left" w:pos="340"/>
      </w:tabs>
    </w:pPr>
  </w:style>
  <w:style w:type="character" w:styleId="FootnoteReference">
    <w:name w:val="footnote reference"/>
    <w:basedOn w:val="DefaultParagraphFont"/>
    <w:uiPriority w:val="99"/>
    <w:rsid w:val="00F46DA2"/>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F46DA2"/>
    <w:rPr>
      <w:rFonts w:ascii="Times New Roman" w:eastAsia="SimSun" w:hAnsi="Times New Roman" w:cs="Simplified Arabic"/>
      <w:sz w:val="24"/>
      <w:szCs w:val="24"/>
      <w:lang w:bidi="ar-AE"/>
    </w:rPr>
  </w:style>
  <w:style w:type="character" w:customStyle="1" w:styleId="Heading2Char">
    <w:name w:val="Heading 2 Char"/>
    <w:basedOn w:val="DefaultParagraphFont"/>
    <w:link w:val="Heading2"/>
    <w:rsid w:val="00F46DA2"/>
    <w:rPr>
      <w:rFonts w:ascii="Times New Roman" w:eastAsia="SimSun" w:hAnsi="Times New Roman" w:cs="Simplified Arabic"/>
      <w:sz w:val="24"/>
      <w:szCs w:val="24"/>
      <w:lang w:bidi="ar-AE"/>
    </w:rPr>
  </w:style>
  <w:style w:type="character" w:customStyle="1" w:styleId="Heading3Char">
    <w:name w:val="Heading 3 Char"/>
    <w:basedOn w:val="DefaultParagraphFont"/>
    <w:link w:val="Heading3"/>
    <w:rsid w:val="00F46DA2"/>
    <w:rPr>
      <w:rFonts w:ascii="Times New Roman" w:eastAsia="SimSun" w:hAnsi="Times New Roman" w:cs="Simplified Arabic"/>
      <w:sz w:val="24"/>
      <w:szCs w:val="24"/>
      <w:lang w:bidi="ar-AE"/>
    </w:rPr>
  </w:style>
  <w:style w:type="character" w:customStyle="1" w:styleId="Heading4Char">
    <w:name w:val="Heading 4 Char"/>
    <w:basedOn w:val="DefaultParagraphFont"/>
    <w:link w:val="Heading4"/>
    <w:rsid w:val="00F46DA2"/>
    <w:rPr>
      <w:rFonts w:ascii="Times New Roman" w:eastAsia="SimSun" w:hAnsi="Times New Roman" w:cs="Simplified Arabic"/>
      <w:sz w:val="24"/>
      <w:szCs w:val="24"/>
      <w:lang w:bidi="ar-AE"/>
    </w:rPr>
  </w:style>
  <w:style w:type="character" w:customStyle="1" w:styleId="Heading5Char">
    <w:name w:val="Heading 5 Char"/>
    <w:basedOn w:val="DefaultParagraphFont"/>
    <w:link w:val="Heading5"/>
    <w:rsid w:val="00F46DA2"/>
    <w:rPr>
      <w:rFonts w:ascii="Times New Roman" w:eastAsia="SimSun" w:hAnsi="Times New Roman" w:cs="Simplified Arabic"/>
      <w:sz w:val="24"/>
      <w:szCs w:val="24"/>
      <w:lang w:bidi="ar-AE"/>
    </w:rPr>
  </w:style>
  <w:style w:type="character" w:customStyle="1" w:styleId="Heading6Char">
    <w:name w:val="Heading 6 Char"/>
    <w:basedOn w:val="DefaultParagraphFont"/>
    <w:link w:val="Heading6"/>
    <w:rsid w:val="00F46DA2"/>
    <w:rPr>
      <w:rFonts w:ascii="Times New Roman" w:eastAsia="SimSun" w:hAnsi="Times New Roman" w:cs="Simplified Arabic"/>
      <w:sz w:val="24"/>
      <w:szCs w:val="24"/>
      <w:lang w:bidi="ar-AE"/>
    </w:rPr>
  </w:style>
  <w:style w:type="character" w:customStyle="1" w:styleId="Heading7Char">
    <w:name w:val="Heading 7 Char"/>
    <w:basedOn w:val="DefaultParagraphFont"/>
    <w:link w:val="Heading7"/>
    <w:rsid w:val="00F46DA2"/>
    <w:rPr>
      <w:rFonts w:ascii="Times New Roman" w:eastAsia="SimSun" w:hAnsi="Times New Roman" w:cs="Simplified Arabic"/>
      <w:sz w:val="24"/>
      <w:szCs w:val="24"/>
      <w:lang w:bidi="ar-AE"/>
    </w:rPr>
  </w:style>
  <w:style w:type="character" w:customStyle="1" w:styleId="Heading8Char">
    <w:name w:val="Heading 8 Char"/>
    <w:basedOn w:val="DefaultParagraphFont"/>
    <w:link w:val="Heading8"/>
    <w:rsid w:val="00F46DA2"/>
    <w:rPr>
      <w:rFonts w:ascii="Times New Roman" w:eastAsia="SimSun" w:hAnsi="Times New Roman" w:cs="Simplified Arabic"/>
      <w:sz w:val="24"/>
      <w:szCs w:val="24"/>
      <w:lang w:bidi="ar-AE"/>
    </w:rPr>
  </w:style>
  <w:style w:type="character" w:customStyle="1" w:styleId="Heading9Char">
    <w:name w:val="Heading 9 Char"/>
    <w:basedOn w:val="DefaultParagraphFont"/>
    <w:link w:val="Heading9"/>
    <w:rsid w:val="00F46DA2"/>
    <w:rPr>
      <w:rFonts w:ascii="Times New Roman" w:eastAsia="SimSun" w:hAnsi="Times New Roman" w:cs="Simplified Arabic"/>
      <w:sz w:val="24"/>
      <w:szCs w:val="24"/>
      <w:lang w:bidi="ar-AE"/>
    </w:rPr>
  </w:style>
  <w:style w:type="paragraph" w:customStyle="1" w:styleId="LetterDetail">
    <w:name w:val="LetterDetail"/>
    <w:basedOn w:val="Normal"/>
    <w:semiHidden/>
    <w:rsid w:val="00F46DA2"/>
    <w:pPr>
      <w:spacing w:after="40"/>
      <w:jc w:val="right"/>
    </w:pPr>
    <w:rPr>
      <w:sz w:val="18"/>
      <w:szCs w:val="18"/>
    </w:rPr>
  </w:style>
  <w:style w:type="paragraph" w:styleId="ListParagraph">
    <w:name w:val="List Paragraph"/>
    <w:basedOn w:val="Normal"/>
    <w:uiPriority w:val="34"/>
    <w:unhideWhenUsed/>
    <w:qFormat/>
    <w:rsid w:val="00F46DA2"/>
    <w:pPr>
      <w:ind w:left="720"/>
      <w:contextualSpacing/>
    </w:pPr>
  </w:style>
  <w:style w:type="paragraph" w:styleId="NoSpacing">
    <w:name w:val="No Spacing"/>
    <w:basedOn w:val="Normal"/>
    <w:uiPriority w:val="1"/>
    <w:unhideWhenUsed/>
    <w:qFormat/>
    <w:rsid w:val="00F46DA2"/>
    <w:pPr>
      <w:spacing w:after="0" w:line="240" w:lineRule="auto"/>
    </w:pPr>
  </w:style>
  <w:style w:type="paragraph" w:customStyle="1" w:styleId="NormalBold">
    <w:name w:val="NormalBold"/>
    <w:basedOn w:val="Normal"/>
    <w:next w:val="Normal"/>
    <w:uiPriority w:val="1"/>
    <w:qFormat/>
    <w:rsid w:val="00F46DA2"/>
    <w:rPr>
      <w:b/>
      <w:bCs/>
    </w:rPr>
  </w:style>
  <w:style w:type="paragraph" w:customStyle="1" w:styleId="NormalBoldNS">
    <w:name w:val="NormalBoldNS"/>
    <w:basedOn w:val="Normal"/>
    <w:next w:val="Normal"/>
    <w:uiPriority w:val="1"/>
    <w:qFormat/>
    <w:rsid w:val="00F46DA2"/>
    <w:pPr>
      <w:spacing w:after="0"/>
      <w:jc w:val="left"/>
    </w:pPr>
    <w:rPr>
      <w:b/>
      <w:bCs/>
    </w:rPr>
  </w:style>
  <w:style w:type="paragraph" w:customStyle="1" w:styleId="NormalLeft">
    <w:name w:val="NormalLeft"/>
    <w:basedOn w:val="Normal"/>
    <w:next w:val="Normal"/>
    <w:qFormat/>
    <w:rsid w:val="00F46DA2"/>
    <w:pPr>
      <w:jc w:val="left"/>
    </w:pPr>
  </w:style>
  <w:style w:type="paragraph" w:customStyle="1" w:styleId="NormalNS">
    <w:name w:val="NormalNS"/>
    <w:basedOn w:val="Normal"/>
    <w:uiPriority w:val="1"/>
    <w:qFormat/>
    <w:rsid w:val="00F46DA2"/>
    <w:pPr>
      <w:spacing w:after="0"/>
    </w:pPr>
  </w:style>
  <w:style w:type="paragraph" w:customStyle="1" w:styleId="NormalRight">
    <w:name w:val="NormalRight"/>
    <w:basedOn w:val="NormalNS"/>
    <w:uiPriority w:val="1"/>
    <w:qFormat/>
    <w:rsid w:val="00F46DA2"/>
    <w:pPr>
      <w:jc w:val="right"/>
    </w:pPr>
  </w:style>
  <w:style w:type="paragraph" w:customStyle="1" w:styleId="NormalRight12">
    <w:name w:val="NormalRight12"/>
    <w:basedOn w:val="NormalRight"/>
    <w:qFormat/>
    <w:rsid w:val="00F46DA2"/>
    <w:pPr>
      <w:spacing w:after="240"/>
    </w:pPr>
  </w:style>
  <w:style w:type="paragraph" w:customStyle="1" w:styleId="NoteContinuation">
    <w:name w:val="Note Continuation"/>
    <w:basedOn w:val="Normal"/>
    <w:qFormat/>
    <w:rsid w:val="00F46DA2"/>
    <w:pPr>
      <w:spacing w:after="120"/>
      <w:ind w:left="340"/>
    </w:pPr>
    <w:rPr>
      <w:sz w:val="20"/>
      <w:szCs w:val="20"/>
    </w:rPr>
  </w:style>
  <w:style w:type="paragraph" w:customStyle="1" w:styleId="OfficeAddress">
    <w:name w:val="OfficeAddress"/>
    <w:next w:val="Normal"/>
    <w:semiHidden/>
    <w:rsid w:val="00F46DA2"/>
    <w:pPr>
      <w:spacing w:line="288" w:lineRule="auto"/>
    </w:pPr>
    <w:rPr>
      <w:rFonts w:ascii="Arial" w:hAnsi="Arial"/>
      <w:caps/>
      <w:spacing w:val="10"/>
      <w:sz w:val="14"/>
      <w:szCs w:val="14"/>
      <w:lang w:bidi="ar-AE"/>
    </w:rPr>
  </w:style>
  <w:style w:type="paragraph" w:customStyle="1" w:styleId="OfficeSecondaryAddress">
    <w:name w:val="OfficeSecondaryAddress"/>
    <w:basedOn w:val="OfficeAddress"/>
    <w:next w:val="OfficeAddress"/>
    <w:semiHidden/>
    <w:rsid w:val="00F46DA2"/>
  </w:style>
  <w:style w:type="paragraph" w:customStyle="1" w:styleId="OptionLabel">
    <w:name w:val="OptionLabel"/>
    <w:semiHidden/>
    <w:rsid w:val="00F46DA2"/>
    <w:pPr>
      <w:spacing w:line="288" w:lineRule="auto"/>
    </w:pPr>
    <w:rPr>
      <w:b/>
      <w:bCs/>
      <w:sz w:val="24"/>
      <w:szCs w:val="24"/>
      <w:lang w:bidi="ar-AE"/>
    </w:rPr>
  </w:style>
  <w:style w:type="character" w:styleId="PageNumber">
    <w:name w:val="page number"/>
    <w:basedOn w:val="DefaultParagraphFont"/>
    <w:uiPriority w:val="99"/>
    <w:rsid w:val="00F46DA2"/>
    <w:rPr>
      <w:rFonts w:ascii="Times New Roman" w:eastAsia="SimSun" w:hAnsi="Times New Roman" w:cs="Times New Roman"/>
      <w:b w:val="0"/>
      <w:sz w:val="24"/>
      <w:szCs w:val="24"/>
      <w:lang w:val="en-GB" w:bidi="ar-AE"/>
    </w:rPr>
  </w:style>
  <w:style w:type="paragraph" w:customStyle="1" w:styleId="ParagraphL9">
    <w:name w:val="Paragraph L9"/>
    <w:basedOn w:val="Normal"/>
    <w:link w:val="ParagraphL9Char"/>
    <w:rsid w:val="00B000E4"/>
    <w:pPr>
      <w:numPr>
        <w:ilvl w:val="8"/>
        <w:numId w:val="10"/>
      </w:numPr>
      <w:outlineLvl w:val="8"/>
    </w:pPr>
  </w:style>
  <w:style w:type="character" w:customStyle="1" w:styleId="ParagraphL9Char">
    <w:name w:val="Paragraph L9 Char"/>
    <w:basedOn w:val="DefaultParagraphFont"/>
    <w:link w:val="ParagraphL9"/>
    <w:rsid w:val="00B000E4"/>
    <w:rPr>
      <w:sz w:val="24"/>
      <w:szCs w:val="24"/>
      <w:lang w:bidi="ar-AE"/>
    </w:rPr>
  </w:style>
  <w:style w:type="paragraph" w:customStyle="1" w:styleId="ParagraphL8">
    <w:name w:val="Paragraph L8"/>
    <w:basedOn w:val="Normal"/>
    <w:link w:val="ParagraphL8Char"/>
    <w:rsid w:val="00B000E4"/>
    <w:pPr>
      <w:numPr>
        <w:ilvl w:val="7"/>
        <w:numId w:val="10"/>
      </w:numPr>
      <w:outlineLvl w:val="7"/>
    </w:pPr>
  </w:style>
  <w:style w:type="character" w:customStyle="1" w:styleId="ParagraphL8Char">
    <w:name w:val="Paragraph L8 Char"/>
    <w:basedOn w:val="DefaultParagraphFont"/>
    <w:link w:val="ParagraphL8"/>
    <w:rsid w:val="00B000E4"/>
    <w:rPr>
      <w:sz w:val="24"/>
      <w:szCs w:val="24"/>
      <w:lang w:bidi="ar-AE"/>
    </w:rPr>
  </w:style>
  <w:style w:type="paragraph" w:customStyle="1" w:styleId="ParagraphL7">
    <w:name w:val="Paragraph L7"/>
    <w:basedOn w:val="Normal"/>
    <w:link w:val="ParagraphL7Char"/>
    <w:rsid w:val="00B000E4"/>
    <w:pPr>
      <w:numPr>
        <w:ilvl w:val="6"/>
        <w:numId w:val="10"/>
      </w:numPr>
      <w:outlineLvl w:val="6"/>
    </w:pPr>
  </w:style>
  <w:style w:type="character" w:customStyle="1" w:styleId="ParagraphL7Char">
    <w:name w:val="Paragraph L7 Char"/>
    <w:basedOn w:val="DefaultParagraphFont"/>
    <w:link w:val="ParagraphL7"/>
    <w:rsid w:val="00B000E4"/>
    <w:rPr>
      <w:sz w:val="24"/>
      <w:szCs w:val="24"/>
      <w:lang w:bidi="ar-AE"/>
    </w:rPr>
  </w:style>
  <w:style w:type="paragraph" w:customStyle="1" w:styleId="ParagraphL6">
    <w:name w:val="Paragraph L6"/>
    <w:basedOn w:val="Normal"/>
    <w:link w:val="ParagraphL6Char"/>
    <w:rsid w:val="00B000E4"/>
    <w:pPr>
      <w:numPr>
        <w:ilvl w:val="5"/>
        <w:numId w:val="10"/>
      </w:numPr>
      <w:outlineLvl w:val="5"/>
    </w:pPr>
  </w:style>
  <w:style w:type="character" w:customStyle="1" w:styleId="ParagraphL6Char">
    <w:name w:val="Paragraph L6 Char"/>
    <w:basedOn w:val="DefaultParagraphFont"/>
    <w:link w:val="ParagraphL6"/>
    <w:rsid w:val="00B000E4"/>
    <w:rPr>
      <w:sz w:val="24"/>
      <w:szCs w:val="24"/>
      <w:lang w:bidi="ar-AE"/>
    </w:rPr>
  </w:style>
  <w:style w:type="paragraph" w:customStyle="1" w:styleId="ParagraphL5">
    <w:name w:val="Paragraph L5"/>
    <w:basedOn w:val="Normal"/>
    <w:next w:val="BodyText5"/>
    <w:link w:val="ParagraphL5Char"/>
    <w:rsid w:val="00B000E4"/>
    <w:pPr>
      <w:numPr>
        <w:ilvl w:val="4"/>
        <w:numId w:val="10"/>
      </w:numPr>
      <w:outlineLvl w:val="4"/>
    </w:pPr>
  </w:style>
  <w:style w:type="paragraph" w:customStyle="1" w:styleId="RecipientSP">
    <w:name w:val="RecipientSP"/>
    <w:semiHidden/>
    <w:rsid w:val="00F46DA2"/>
    <w:rPr>
      <w:sz w:val="2"/>
      <w:szCs w:val="2"/>
      <w:lang w:bidi="he-IL"/>
    </w:rPr>
  </w:style>
  <w:style w:type="paragraph" w:customStyle="1" w:styleId="Regulatory">
    <w:name w:val="Regulatory"/>
    <w:basedOn w:val="Normal"/>
    <w:next w:val="Footer"/>
    <w:semiHidden/>
    <w:rsid w:val="00F46DA2"/>
    <w:pPr>
      <w:jc w:val="left"/>
    </w:pPr>
    <w:rPr>
      <w:rFonts w:ascii="Arial" w:hAnsi="Arial"/>
      <w:caps/>
      <w:spacing w:val="8"/>
      <w:sz w:val="14"/>
      <w:szCs w:val="14"/>
    </w:rPr>
  </w:style>
  <w:style w:type="character" w:styleId="Strong">
    <w:name w:val="Strong"/>
    <w:uiPriority w:val="22"/>
    <w:rsid w:val="00F46DA2"/>
    <w:rPr>
      <w:b/>
      <w:bCs/>
    </w:rPr>
  </w:style>
  <w:style w:type="paragraph" w:styleId="Subtitle">
    <w:name w:val="Subtitle"/>
    <w:basedOn w:val="Normal"/>
    <w:next w:val="BodyText"/>
    <w:link w:val="SubtitleChar"/>
    <w:qFormat/>
    <w:rsid w:val="00F46DA2"/>
    <w:pPr>
      <w:numPr>
        <w:ilvl w:val="1"/>
      </w:numPr>
      <w:jc w:val="center"/>
    </w:pPr>
  </w:style>
  <w:style w:type="character" w:customStyle="1" w:styleId="SubtitleChar">
    <w:name w:val="Subtitle Char"/>
    <w:basedOn w:val="DefaultParagraphFont"/>
    <w:link w:val="Subtitle"/>
    <w:rsid w:val="00F46DA2"/>
    <w:rPr>
      <w:rFonts w:ascii="Times New Roman" w:eastAsia="SimSun" w:hAnsi="Times New Roman" w:cs="Simplified Arabic"/>
      <w:sz w:val="24"/>
      <w:szCs w:val="24"/>
      <w:lang w:bidi="ar-AE"/>
    </w:rPr>
  </w:style>
  <w:style w:type="paragraph" w:customStyle="1" w:styleId="SubTitle0">
    <w:name w:val="SubTitle0"/>
    <w:basedOn w:val="Subtitle"/>
    <w:qFormat/>
    <w:rsid w:val="00F46DA2"/>
    <w:pPr>
      <w:spacing w:after="0"/>
    </w:pPr>
  </w:style>
  <w:style w:type="table" w:styleId="TableGrid">
    <w:name w:val="Table Grid"/>
    <w:basedOn w:val="TableNormal"/>
    <w:uiPriority w:val="59"/>
    <w:rsid w:val="00F46D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F46DA2"/>
    <w:pPr>
      <w:jc w:val="center"/>
    </w:pPr>
    <w:rPr>
      <w:b/>
      <w:bCs/>
    </w:rPr>
  </w:style>
  <w:style w:type="character" w:customStyle="1" w:styleId="TitleChar">
    <w:name w:val="Title Char"/>
    <w:basedOn w:val="DefaultParagraphFont"/>
    <w:link w:val="Title"/>
    <w:rsid w:val="00F46DA2"/>
    <w:rPr>
      <w:rFonts w:ascii="Times New Roman" w:eastAsia="SimSun" w:hAnsi="Times New Roman" w:cs="Simplified Arabic"/>
      <w:b/>
      <w:bCs/>
      <w:sz w:val="24"/>
      <w:szCs w:val="24"/>
      <w:lang w:bidi="ar-AE"/>
    </w:rPr>
  </w:style>
  <w:style w:type="paragraph" w:customStyle="1" w:styleId="WebAddress">
    <w:name w:val="WebAddress"/>
    <w:next w:val="Normal"/>
    <w:semiHidden/>
    <w:rsid w:val="00F46DA2"/>
    <w:pPr>
      <w:spacing w:before="80" w:line="288" w:lineRule="auto"/>
    </w:pPr>
    <w:rPr>
      <w:rFonts w:ascii="Arial" w:hAnsi="Arial"/>
      <w:sz w:val="14"/>
      <w:szCs w:val="14"/>
      <w:lang w:bidi="ar-AE"/>
    </w:rPr>
  </w:style>
  <w:style w:type="paragraph" w:styleId="BalloonText">
    <w:name w:val="Balloon Text"/>
    <w:basedOn w:val="Normal"/>
    <w:link w:val="BalloonTextChar"/>
    <w:uiPriority w:val="99"/>
    <w:semiHidden/>
    <w:unhideWhenUsed/>
    <w:rsid w:val="006C4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A6A"/>
    <w:rPr>
      <w:rFonts w:ascii="Tahoma" w:eastAsia="SimSun" w:hAnsi="Tahoma" w:cs="Tahoma"/>
      <w:sz w:val="16"/>
      <w:szCs w:val="16"/>
      <w:lang w:bidi="ar-AE"/>
    </w:rPr>
  </w:style>
  <w:style w:type="paragraph" w:customStyle="1" w:styleId="NormalLeftSNS">
    <w:name w:val="NormalLeftSNS"/>
    <w:basedOn w:val="Normal"/>
    <w:qFormat/>
    <w:rsid w:val="00A134DB"/>
    <w:pPr>
      <w:spacing w:after="0" w:line="240" w:lineRule="auto"/>
      <w:jc w:val="left"/>
    </w:pPr>
  </w:style>
  <w:style w:type="paragraph" w:customStyle="1" w:styleId="ArabicWebAddress">
    <w:name w:val="Arabic WebAddress"/>
    <w:qFormat/>
    <w:rsid w:val="004C0417"/>
    <w:pPr>
      <w:snapToGrid w:val="0"/>
      <w:jc w:val="right"/>
    </w:pPr>
    <w:rPr>
      <w:rFonts w:ascii="Arial" w:hAnsi="Arial"/>
      <w:sz w:val="14"/>
      <w:szCs w:val="14"/>
      <w:lang w:bidi="ar-AE"/>
    </w:rPr>
  </w:style>
  <w:style w:type="paragraph" w:customStyle="1" w:styleId="ArabicHeader">
    <w:name w:val="ArabicHeader"/>
    <w:qFormat/>
    <w:rsid w:val="004C0417"/>
    <w:pPr>
      <w:spacing w:line="180" w:lineRule="exact"/>
      <w:jc w:val="right"/>
    </w:pPr>
    <w:rPr>
      <w:rFonts w:asciiTheme="minorBidi" w:hAnsiTheme="minorBidi"/>
      <w:bCs/>
      <w:caps/>
      <w:spacing w:val="6"/>
      <w:sz w:val="14"/>
      <w:szCs w:val="14"/>
      <w:lang w:bidi="ar-AE"/>
    </w:rPr>
  </w:style>
  <w:style w:type="paragraph" w:customStyle="1" w:styleId="ArabicReg">
    <w:name w:val="ArabicReg"/>
    <w:next w:val="Regulatory"/>
    <w:rsid w:val="00C51336"/>
    <w:pPr>
      <w:bidi/>
    </w:pPr>
    <w:rPr>
      <w:rFonts w:ascii="Simplified Arabic" w:hAnsi="Simplified Arabic"/>
      <w:caps/>
      <w:spacing w:val="8"/>
      <w:sz w:val="14"/>
      <w:szCs w:val="14"/>
      <w:lang w:bidi="ar-AE"/>
    </w:rPr>
  </w:style>
  <w:style w:type="character" w:customStyle="1" w:styleId="ParagraphL5Char">
    <w:name w:val="Paragraph L5 Char"/>
    <w:basedOn w:val="DefaultParagraphFont"/>
    <w:link w:val="ParagraphL5"/>
    <w:rsid w:val="00B000E4"/>
    <w:rPr>
      <w:sz w:val="24"/>
      <w:szCs w:val="24"/>
      <w:lang w:bidi="ar-AE"/>
    </w:rPr>
  </w:style>
  <w:style w:type="paragraph" w:customStyle="1" w:styleId="ParagraphL4">
    <w:name w:val="Paragraph L4"/>
    <w:basedOn w:val="Normal"/>
    <w:next w:val="BodyText4"/>
    <w:link w:val="ParagraphL4Char"/>
    <w:rsid w:val="00B000E4"/>
    <w:pPr>
      <w:numPr>
        <w:ilvl w:val="3"/>
        <w:numId w:val="10"/>
      </w:numPr>
      <w:outlineLvl w:val="3"/>
    </w:pPr>
  </w:style>
  <w:style w:type="character" w:customStyle="1" w:styleId="ParagraphL4Char">
    <w:name w:val="Paragraph L4 Char"/>
    <w:basedOn w:val="DefaultParagraphFont"/>
    <w:link w:val="ParagraphL4"/>
    <w:rsid w:val="00B000E4"/>
    <w:rPr>
      <w:sz w:val="24"/>
      <w:szCs w:val="24"/>
      <w:lang w:bidi="ar-AE"/>
    </w:rPr>
  </w:style>
  <w:style w:type="paragraph" w:customStyle="1" w:styleId="ParagraphL3">
    <w:name w:val="Paragraph L3"/>
    <w:basedOn w:val="Normal"/>
    <w:next w:val="BodyText3"/>
    <w:link w:val="ParagraphL3Char"/>
    <w:rsid w:val="00B000E4"/>
    <w:pPr>
      <w:numPr>
        <w:ilvl w:val="2"/>
        <w:numId w:val="10"/>
      </w:numPr>
      <w:outlineLvl w:val="2"/>
    </w:pPr>
  </w:style>
  <w:style w:type="character" w:customStyle="1" w:styleId="ParagraphL3Char">
    <w:name w:val="Paragraph L3 Char"/>
    <w:basedOn w:val="DefaultParagraphFont"/>
    <w:link w:val="ParagraphL3"/>
    <w:rsid w:val="00B000E4"/>
    <w:rPr>
      <w:sz w:val="24"/>
      <w:szCs w:val="24"/>
      <w:lang w:bidi="ar-AE"/>
    </w:rPr>
  </w:style>
  <w:style w:type="paragraph" w:customStyle="1" w:styleId="ParagraphL2">
    <w:name w:val="Paragraph L2"/>
    <w:basedOn w:val="Normal"/>
    <w:next w:val="BodyText2"/>
    <w:link w:val="ParagraphL2Char"/>
    <w:rsid w:val="00B000E4"/>
    <w:pPr>
      <w:numPr>
        <w:ilvl w:val="1"/>
        <w:numId w:val="10"/>
      </w:numPr>
      <w:outlineLvl w:val="1"/>
    </w:pPr>
  </w:style>
  <w:style w:type="character" w:customStyle="1" w:styleId="ParagraphL2Char">
    <w:name w:val="Paragraph L2 Char"/>
    <w:basedOn w:val="DefaultParagraphFont"/>
    <w:link w:val="ParagraphL2"/>
    <w:rsid w:val="00B000E4"/>
    <w:rPr>
      <w:sz w:val="24"/>
      <w:szCs w:val="24"/>
      <w:lang w:bidi="ar-AE"/>
    </w:rPr>
  </w:style>
  <w:style w:type="paragraph" w:customStyle="1" w:styleId="ParagraphL1">
    <w:name w:val="Paragraph L1"/>
    <w:basedOn w:val="Normal"/>
    <w:next w:val="BodyText1"/>
    <w:link w:val="ParagraphL1Char"/>
    <w:rsid w:val="00B000E4"/>
    <w:pPr>
      <w:numPr>
        <w:numId w:val="10"/>
      </w:numPr>
      <w:outlineLvl w:val="0"/>
    </w:pPr>
  </w:style>
  <w:style w:type="character" w:customStyle="1" w:styleId="ParagraphL1Char">
    <w:name w:val="Paragraph L1 Char"/>
    <w:basedOn w:val="DefaultParagraphFont"/>
    <w:link w:val="ParagraphL1"/>
    <w:rsid w:val="00B000E4"/>
    <w:rPr>
      <w:sz w:val="24"/>
      <w:szCs w:val="24"/>
      <w:lang w:bidi="ar-AE"/>
    </w:rPr>
  </w:style>
  <w:style w:type="character" w:styleId="PlaceholderText">
    <w:name w:val="Placeholder Text"/>
    <w:basedOn w:val="DefaultParagraphFont"/>
    <w:uiPriority w:val="99"/>
    <w:semiHidden/>
    <w:rsid w:val="00084F5D"/>
    <w:rPr>
      <w:color w:val="808080"/>
    </w:rPr>
  </w:style>
  <w:style w:type="paragraph" w:customStyle="1" w:styleId="Bullet5">
    <w:name w:val="Bullet 5"/>
    <w:basedOn w:val="Normal"/>
    <w:rsid w:val="000D1C4C"/>
    <w:pPr>
      <w:numPr>
        <w:numId w:val="11"/>
      </w:numPr>
      <w:spacing w:after="140" w:line="290" w:lineRule="auto"/>
      <w:ind w:left="3288" w:hanging="680"/>
    </w:pPr>
    <w:rPr>
      <w:rFonts w:ascii="Arial" w:eastAsia="MS Mincho" w:hAnsi="Arial" w:cs="Times New Roman"/>
      <w:kern w:val="20"/>
      <w:sz w:val="20"/>
      <w:szCs w:val="20"/>
      <w:lang w:eastAsia="en-US" w:bidi="ar-SA"/>
    </w:rPr>
  </w:style>
  <w:style w:type="paragraph" w:customStyle="1" w:styleId="HeadingCtr">
    <w:name w:val="Heading Ctr"/>
    <w:basedOn w:val="Normal"/>
    <w:uiPriority w:val="1"/>
    <w:qFormat/>
    <w:rsid w:val="008F2F2E"/>
    <w:pPr>
      <w:keepNext/>
      <w:keepLines/>
      <w:spacing w:before="240" w:after="0" w:line="240" w:lineRule="auto"/>
      <w:jc w:val="center"/>
    </w:pPr>
    <w:rPr>
      <w:rFonts w:eastAsia="Times New Roman" w:cs="Times New Roman"/>
      <w:sz w:val="20"/>
      <w:szCs w:val="20"/>
      <w:lang w:val="en-US" w:eastAsia="en-US" w:bidi="ar-SA"/>
    </w:rPr>
  </w:style>
  <w:style w:type="paragraph" w:customStyle="1" w:styleId="AONormal8L">
    <w:name w:val="AONormal8L"/>
    <w:basedOn w:val="Normal"/>
    <w:rsid w:val="00E91FAA"/>
    <w:pPr>
      <w:spacing w:after="0" w:line="220" w:lineRule="atLeast"/>
      <w:jc w:val="left"/>
    </w:pPr>
    <w:rPr>
      <w:rFonts w:ascii="Arial" w:hAnsi="Arial" w:cs="Arial"/>
      <w:sz w:val="16"/>
      <w:szCs w:val="22"/>
      <w:lang w:eastAsia="en-US" w:bidi="ar-SA"/>
    </w:rPr>
  </w:style>
  <w:style w:type="paragraph" w:styleId="Date">
    <w:name w:val="Date"/>
    <w:basedOn w:val="Normal"/>
    <w:next w:val="Normal"/>
    <w:link w:val="DateChar"/>
    <w:uiPriority w:val="99"/>
    <w:semiHidden/>
    <w:unhideWhenUsed/>
    <w:rsid w:val="00366316"/>
  </w:style>
  <w:style w:type="character" w:customStyle="1" w:styleId="DateChar">
    <w:name w:val="Date Char"/>
    <w:basedOn w:val="DefaultParagraphFont"/>
    <w:link w:val="Date"/>
    <w:uiPriority w:val="99"/>
    <w:semiHidden/>
    <w:rsid w:val="00366316"/>
    <w:rPr>
      <w:sz w:val="24"/>
      <w:szCs w:val="24"/>
      <w:lang w:bidi="ar-AE"/>
    </w:rPr>
  </w:style>
  <w:style w:type="character" w:customStyle="1" w:styleId="DocID">
    <w:name w:val="DocID"/>
    <w:basedOn w:val="DefaultParagraphFont"/>
    <w:rsid w:val="00366316"/>
    <w:rPr>
      <w:rFonts w:ascii="Times New Roman" w:hAnsi="Times New Roman" w:cs="Times New Roman"/>
      <w:b w:val="0"/>
      <w:i w:val="0"/>
      <w:color w:val="000000"/>
      <w:sz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59864">
      <w:bodyDiv w:val="1"/>
      <w:marLeft w:val="0"/>
      <w:marRight w:val="0"/>
      <w:marTop w:val="0"/>
      <w:marBottom w:val="0"/>
      <w:divBdr>
        <w:top w:val="none" w:sz="0" w:space="0" w:color="auto"/>
        <w:left w:val="none" w:sz="0" w:space="0" w:color="auto"/>
        <w:bottom w:val="none" w:sz="0" w:space="0" w:color="auto"/>
        <w:right w:val="none" w:sz="0" w:space="0" w:color="auto"/>
      </w:divBdr>
    </w:div>
    <w:div w:id="498080621">
      <w:bodyDiv w:val="1"/>
      <w:marLeft w:val="0"/>
      <w:marRight w:val="0"/>
      <w:marTop w:val="0"/>
      <w:marBottom w:val="0"/>
      <w:divBdr>
        <w:top w:val="none" w:sz="0" w:space="0" w:color="auto"/>
        <w:left w:val="none" w:sz="0" w:space="0" w:color="auto"/>
        <w:bottom w:val="none" w:sz="0" w:space="0" w:color="auto"/>
        <w:right w:val="none" w:sz="0" w:space="0" w:color="auto"/>
      </w:divBdr>
    </w:div>
    <w:div w:id="675812929">
      <w:bodyDiv w:val="1"/>
      <w:marLeft w:val="0"/>
      <w:marRight w:val="0"/>
      <w:marTop w:val="0"/>
      <w:marBottom w:val="0"/>
      <w:divBdr>
        <w:top w:val="none" w:sz="0" w:space="0" w:color="auto"/>
        <w:left w:val="none" w:sz="0" w:space="0" w:color="auto"/>
        <w:bottom w:val="none" w:sz="0" w:space="0" w:color="auto"/>
        <w:right w:val="none" w:sz="0" w:space="0" w:color="auto"/>
      </w:divBdr>
    </w:div>
    <w:div w:id="718632158">
      <w:bodyDiv w:val="1"/>
      <w:marLeft w:val="0"/>
      <w:marRight w:val="0"/>
      <w:marTop w:val="0"/>
      <w:marBottom w:val="0"/>
      <w:divBdr>
        <w:top w:val="none" w:sz="0" w:space="0" w:color="auto"/>
        <w:left w:val="none" w:sz="0" w:space="0" w:color="auto"/>
        <w:bottom w:val="none" w:sz="0" w:space="0" w:color="auto"/>
        <w:right w:val="none" w:sz="0" w:space="0" w:color="auto"/>
      </w:divBdr>
    </w:div>
    <w:div w:id="208418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fontTable" Target="fontTable.xml"/><Relationship Id="rId21" Type="http://schemas.openxmlformats.org/officeDocument/2006/relationships/customXml" Target="../customXml/item1.xml"/><Relationship Id="rId12" Type="http://schemas.openxmlformats.org/officeDocument/2006/relationships/webSettings" Target="webSettings.xml"/><Relationship Id="rId17" Type="http://schemas.openxmlformats.org/officeDocument/2006/relationships/footer" Target="footer2.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11"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styles" Target="styles.xml"/><Relationship Id="rId19"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customXml" Target="../customXml/item2.xml"/></Relationships>
</file>

<file path=word/_rels/header1.xml.rels><?xml version="1.0" encoding="UTF-8" ?><Relationships xmlns="http://schemas.openxmlformats.org/package/2006/relationships"><Relationship Target="media/image3.jpeg" Type="http://schemas.openxmlformats.org/officeDocument/2006/relationships/image" Id="rId3"></Relationship><Relationship Target="media/image2.jpeg" Type="http://schemas.openxmlformats.org/officeDocument/2006/relationships/image" Id="rId2"></Relationship><Relationship Target="media/image1.png" Type="http://schemas.openxmlformats.org/officeDocument/2006/relationships/image" Id="rId1"></Relationship><Relationship Target="media/image6.png" Type="http://schemas.openxmlformats.org/officeDocument/2006/relationships/image" Id="rId6"></Relationship><Relationship Target="media/image5.png" Type="http://schemas.openxmlformats.org/officeDocument/2006/relationships/image" Id="rId5"></Relationship><Relationship Target="media/image4.emf" Type="http://schemas.openxmlformats.org/officeDocument/2006/relationships/image" Id="rId4"></Relationshi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7E44D10FBE41BF9CCCCEF011E15CC7"/>
        <w:category>
          <w:name w:val="General"/>
          <w:gallery w:val="placeholder"/>
        </w:category>
        <w:types>
          <w:type w:val="bbPlcHdr"/>
        </w:types>
        <w:behaviors>
          <w:behavior w:val="content"/>
        </w:behaviors>
        <w:guid w:val="{841877BF-E4A1-409A-90B0-BF8989E0D79F}"/>
      </w:docPartPr>
      <w:docPartBody>
        <w:p w:rsidR="00EA54F1" w:rsidRDefault="00EA54F1"/>
      </w:docPartBody>
    </w:docPart>
    <w:docPart>
      <w:docPartPr>
        <w:name w:val="A2EDD293665F440095034BA1FF2368BD"/>
        <w:category>
          <w:name w:val="General"/>
          <w:gallery w:val="placeholder"/>
        </w:category>
        <w:types>
          <w:type w:val="bbPlcHdr"/>
        </w:types>
        <w:behaviors>
          <w:behavior w:val="content"/>
        </w:behaviors>
        <w:guid w:val="{EA744663-C125-4BD7-92E9-E4EE4852A6AA}"/>
      </w:docPartPr>
      <w:docPartBody>
        <w:p w:rsidR="00EA54F1" w:rsidRDefault="00EA54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Simplified Arabic"/>
    <w:panose1 w:val="02020603050405020304"/>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DCF"/>
    <w:rsid w:val="003F7715"/>
    <w:rsid w:val="00595903"/>
    <w:rsid w:val="006F2DCF"/>
    <w:rsid w:val="00EA5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59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1C20DF65959C419DCF354BED6D0659" ma:contentTypeVersion="6" ma:contentTypeDescription="Create a new document." ma:contentTypeScope="" ma:versionID="b213249afa2ced934db78d3d64bfc3c4">
  <xsd:schema xmlns:xsd="http://www.w3.org/2001/XMLSchema" xmlns:xs="http://www.w3.org/2001/XMLSchema" xmlns:p="http://schemas.microsoft.com/office/2006/metadata/properties" xmlns:ns2="73525f0d-1972-444b-bb03-4beefa6a8dd9" xmlns:ns3="c77ec181-6fae-4e7c-989d-92172d3be6e9" targetNamespace="http://schemas.microsoft.com/office/2006/metadata/properties" ma:root="true" ma:fieldsID="d9966f4e77e73bd2631869de31fb6e21" ns2:_="" ns3:_="">
    <xsd:import namespace="73525f0d-1972-444b-bb03-4beefa6a8dd9"/>
    <xsd:import namespace="c77ec181-6fae-4e7c-989d-92172d3be6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25f0d-1972-444b-bb03-4beefa6a8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7ec181-6fae-4e7c-989d-92172d3be6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D6B061-860A-44CD-9AF3-47308C882971}"/>
</file>

<file path=customXml/itemProps2.xml><?xml version="1.0" encoding="utf-8"?>
<ds:datastoreItem xmlns:ds="http://schemas.openxmlformats.org/officeDocument/2006/customXml" ds:itemID="{3BE7C7C2-20AE-44B1-8433-48512B0FA51D}"/>
</file>

<file path=customXml/itemProps3.xml><?xml version="1.0" encoding="utf-8"?>
<ds:datastoreItem xmlns:ds="http://schemas.openxmlformats.org/officeDocument/2006/customXml" ds:itemID="{C73D346D-6BFF-4DBF-B950-1401FFC3E876}"/>
</file>

<file path=docProps/app.xml><?xml version="1.0" encoding="utf-8"?>
<Properties xmlns="http://schemas.openxmlformats.org/officeDocument/2006/extended-properties" xmlns:vt="http://schemas.openxmlformats.org/officeDocument/2006/docPropsVTypes">
  <Template/>
  <TitlesOfParts>
    <vt:vector size="1" baseType="lpstr">
      <vt:lpstr/>
    </vt:vector>
  </TitlesOfParts>
  <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0x0101002B1C20DF65959C419DCF354BED6D0659</vt:lpwstr>
  </property>
</Properties>
</file>