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870B" w14:textId="77777777" w:rsidR="00282272" w:rsidRDefault="00AB0A4B" w:rsidP="006C14FE">
      <w:pPr>
        <w:pStyle w:val="Title"/>
      </w:pPr>
      <w:r w:rsidRPr="00AB0A4B">
        <w:t>SFTR Implementation Procedures</w:t>
      </w:r>
    </w:p>
    <w:p w14:paraId="51B2730B" w14:textId="6F3313B2" w:rsidR="001A5943" w:rsidRPr="001A5943" w:rsidRDefault="00AB0A4B" w:rsidP="001A5943">
      <w:pPr>
        <w:pStyle w:val="Date"/>
        <w:rPr>
          <w:rFonts w:eastAsiaTheme="majorEastAsia" w:cstheme="majorBidi"/>
          <w:b/>
          <w:sz w:val="28"/>
          <w:szCs w:val="26"/>
        </w:rPr>
      </w:pPr>
      <w:r w:rsidRPr="00AB0A4B">
        <w:rPr>
          <w:rFonts w:eastAsiaTheme="majorEastAsia" w:cstheme="majorBidi"/>
          <w:b/>
          <w:sz w:val="28"/>
          <w:szCs w:val="26"/>
        </w:rPr>
        <w:t>For reporting of Margin Lending under a Prime Brokerage Agreement</w:t>
      </w:r>
      <w:r w:rsidR="001A5943">
        <w:rPr>
          <w:rFonts w:eastAsiaTheme="majorEastAsia" w:cstheme="majorBidi"/>
          <w:b/>
          <w:sz w:val="28"/>
          <w:szCs w:val="26"/>
        </w:rPr>
        <w:br/>
      </w:r>
      <w:r w:rsidR="00C80D54">
        <w:rPr>
          <w:rFonts w:eastAsiaTheme="majorEastAsia" w:cstheme="majorBidi"/>
          <w:bCs/>
          <w:sz w:val="28"/>
          <w:szCs w:val="26"/>
        </w:rPr>
        <w:t>1</w:t>
      </w:r>
      <w:r w:rsidR="00C80D54" w:rsidRPr="00C80D54">
        <w:rPr>
          <w:rFonts w:eastAsiaTheme="majorEastAsia" w:cstheme="majorBidi"/>
          <w:bCs/>
          <w:sz w:val="28"/>
          <w:szCs w:val="26"/>
          <w:vertAlign w:val="superscript"/>
        </w:rPr>
        <w:t>st</w:t>
      </w:r>
      <w:r w:rsidR="00C80D54">
        <w:rPr>
          <w:rFonts w:eastAsiaTheme="majorEastAsia" w:cstheme="majorBidi"/>
          <w:bCs/>
          <w:sz w:val="28"/>
          <w:szCs w:val="26"/>
        </w:rPr>
        <w:t xml:space="preserve"> June</w:t>
      </w:r>
      <w:r w:rsidR="001D49BB">
        <w:rPr>
          <w:rFonts w:eastAsiaTheme="majorEastAsia" w:cstheme="majorBidi"/>
          <w:bCs/>
          <w:sz w:val="28"/>
          <w:szCs w:val="26"/>
        </w:rPr>
        <w:t xml:space="preserve"> 2021</w:t>
      </w:r>
    </w:p>
    <w:p w14:paraId="30323B62" w14:textId="77777777" w:rsidR="00AB0A4B" w:rsidRPr="00294A0F" w:rsidRDefault="00AB0A4B" w:rsidP="00AB0A4B">
      <w:pPr>
        <w:pStyle w:val="Heading1"/>
      </w:pPr>
      <w:bookmarkStart w:id="0" w:name="_Hlk9435666"/>
      <w:r w:rsidRPr="00294A0F">
        <w:t>Disclaimer</w:t>
      </w:r>
    </w:p>
    <w:p w14:paraId="121CFB5E" w14:textId="77777777" w:rsidR="00AB0A4B" w:rsidRPr="00F312F3" w:rsidRDefault="00AB0A4B" w:rsidP="00AB0A4B">
      <w:pPr>
        <w:pStyle w:val="BodyText"/>
      </w:pPr>
      <w:r w:rsidRPr="00F312F3">
        <w:t xml:space="preserve">This document is not intended to be and should not be relied on as being legal, financial, tax, regulatory, business or other professional advice. None of AFME, its employees or consultants or its members or their respective firms represents or warrants that it is accurate, suitable or complete and none of them shall have any liability arising from, or relating to, the use of this document. The document may be subject to review and amendment. </w:t>
      </w:r>
    </w:p>
    <w:p w14:paraId="7CE3F3AD" w14:textId="77777777" w:rsidR="00AB0A4B" w:rsidRDefault="00AB0A4B" w:rsidP="00AB0A4B">
      <w:pPr>
        <w:pStyle w:val="BodyText"/>
      </w:pPr>
      <w:r w:rsidRPr="00F312F3">
        <w:t>Receipt of this document is subject to paragraphs 3,</w:t>
      </w:r>
      <w:r>
        <w:t xml:space="preserve"> </w:t>
      </w:r>
      <w:r w:rsidRPr="00F312F3">
        <w:t>4,</w:t>
      </w:r>
      <w:r>
        <w:t xml:space="preserve"> </w:t>
      </w:r>
      <w:r w:rsidRPr="00F312F3">
        <w:t>5,</w:t>
      </w:r>
      <w:r>
        <w:t xml:space="preserve"> </w:t>
      </w:r>
      <w:r w:rsidRPr="00F312F3">
        <w:t>9, 10, 11 and 13 of the Terms of Use which are applicable to AFME’s website (available at https://www.afme.eu/en/about-us/termsconditions/) and, for the purposes of such Terms of Use, this shall be considered a “Material” (regardless of whether it has been received or accessed via AFME’s website or otherwise).</w:t>
      </w:r>
    </w:p>
    <w:p w14:paraId="50082C55" w14:textId="77777777" w:rsidR="00AB0A4B" w:rsidRPr="00294A0F" w:rsidRDefault="00AB0A4B" w:rsidP="00AB0A4B">
      <w:pPr>
        <w:pStyle w:val="Heading1"/>
      </w:pPr>
      <w:r w:rsidRPr="00294A0F">
        <w:t>Introduction</w:t>
      </w:r>
    </w:p>
    <w:p w14:paraId="649995B7" w14:textId="77777777" w:rsidR="00AB0A4B" w:rsidRDefault="00AB0A4B" w:rsidP="00AB0A4B">
      <w:pPr>
        <w:jc w:val="both"/>
        <w:rPr>
          <w:rFonts w:ascii="Cambria" w:hAnsi="Cambria"/>
        </w:rPr>
      </w:pPr>
      <w:r>
        <w:rPr>
          <w:rFonts w:ascii="Cambria" w:hAnsi="Cambria"/>
        </w:rPr>
        <w:t>This document captures items agreed by members of the AFME Prime Services Forum, to assist members and their counterparties with compliance with SFTR reporting requirements. The document specifically relates to margin lending transactions. Members of the Prime Services Forum conducted a field by field review of 3 data tables – counterparty data, loan &amp; collateral data, reuse data – to establish the relevance of each field to Margin Lending and identify items requiring further clarification (either through a consensus interpretation or regulatory guidance where applicable.) Note that the ‘margin data’ table has been established as not applicable in the context of Prime Brokerage. Whilst this document highlights selected fields, the full field-by-field analysis of the data tables is included as an annex.</w:t>
      </w:r>
    </w:p>
    <w:p w14:paraId="73116957" w14:textId="77777777" w:rsidR="00AB0A4B" w:rsidRDefault="00AB0A4B" w:rsidP="00AB0A4B">
      <w:pPr>
        <w:jc w:val="both"/>
        <w:rPr>
          <w:rFonts w:ascii="Cambria" w:hAnsi="Cambria"/>
        </w:rPr>
      </w:pPr>
    </w:p>
    <w:p w14:paraId="7E0322F7" w14:textId="77777777" w:rsidR="00AB0A4B" w:rsidRPr="00294A0F" w:rsidRDefault="00AB0A4B" w:rsidP="00AB0A4B">
      <w:pPr>
        <w:jc w:val="both"/>
        <w:rPr>
          <w:rFonts w:ascii="Cambria" w:hAnsi="Cambria"/>
        </w:rPr>
      </w:pPr>
      <w:r>
        <w:rPr>
          <w:rFonts w:ascii="Cambria" w:hAnsi="Cambria"/>
        </w:rPr>
        <w:t xml:space="preserve">Note that, whilst the definition of “margin loan” in the Level 1 text is extremely broad, ESMA has confirmed that the reporting obligation under SFTR should only apply to prime brokerage margin lending, i.e. cash lending from prime brokers to their clients against collateral as part of a prime brokerage agreement. </w:t>
      </w:r>
    </w:p>
    <w:p w14:paraId="59616161" w14:textId="77777777" w:rsidR="00AB0A4B" w:rsidRDefault="00AB0A4B" w:rsidP="00AB0A4B">
      <w:pPr>
        <w:jc w:val="both"/>
      </w:pPr>
    </w:p>
    <w:p w14:paraId="07E1A5A0" w14:textId="77777777" w:rsidR="00AB0A4B" w:rsidRPr="00B1767B" w:rsidRDefault="00AB0A4B" w:rsidP="00AB0A4B">
      <w:pPr>
        <w:pStyle w:val="Level1"/>
      </w:pPr>
      <w:r>
        <w:t>L</w:t>
      </w:r>
      <w:r w:rsidRPr="00B1767B">
        <w:t>oan and Collateral Table/Information</w:t>
      </w:r>
    </w:p>
    <w:p w14:paraId="696BF459" w14:textId="77777777" w:rsidR="00DB65C4" w:rsidRDefault="00DB65C4" w:rsidP="00AB0A4B">
      <w:pPr>
        <w:pStyle w:val="BodyText"/>
      </w:pPr>
    </w:p>
    <w:p w14:paraId="769BA75D" w14:textId="23074843" w:rsidR="00AB0A4B" w:rsidRDefault="00AB0A4B" w:rsidP="00AB0A4B">
      <w:pPr>
        <w:pStyle w:val="BodyText"/>
      </w:pPr>
      <w:r w:rsidRPr="00AB0A4B">
        <w:t>Please see Annex A for the full set of AFME Prime Services Forum comments on the Loan and Collateral Data Tables</w:t>
      </w:r>
      <w:r>
        <w:t>.</w:t>
      </w:r>
    </w:p>
    <w:p w14:paraId="4C709C7C" w14:textId="77777777" w:rsidR="00AB0A4B" w:rsidRDefault="00AB0A4B" w:rsidP="00AB0A4B">
      <w:pPr>
        <w:pStyle w:val="BodyText"/>
      </w:pPr>
    </w:p>
    <w:p w14:paraId="17302B13" w14:textId="058417FA" w:rsidR="00AB0A4B" w:rsidRPr="007E03C5" w:rsidRDefault="00AB0A4B" w:rsidP="00DB65C4">
      <w:pPr>
        <w:pStyle w:val="Level2"/>
      </w:pPr>
      <w:r w:rsidRPr="007E03C5">
        <w:t>UTI (Fields 1 and 12)</w:t>
      </w:r>
    </w:p>
    <w:p w14:paraId="2DF12C34" w14:textId="77777777" w:rsidR="00AB0A4B" w:rsidRPr="00AB0A4B" w:rsidRDefault="00AB0A4B" w:rsidP="00AB0A4B">
      <w:pPr>
        <w:pStyle w:val="BodyText"/>
      </w:pPr>
      <w:r w:rsidRPr="00AB0A4B">
        <w:rPr>
          <w:rStyle w:val="BodyTextChar"/>
        </w:rPr>
        <w:t xml:space="preserve">One UTI should be used for the duration of the relevant client relationship. If a position is closed because there is no outstanding SMV or margin loan, the same UTI should be used </w:t>
      </w:r>
      <w:proofErr w:type="gramStart"/>
      <w:r w:rsidRPr="00AB0A4B">
        <w:rPr>
          <w:rStyle w:val="BodyTextChar"/>
        </w:rPr>
        <w:t>if and when</w:t>
      </w:r>
      <w:proofErr w:type="gramEnd"/>
      <w:r w:rsidRPr="00AB0A4B">
        <w:rPr>
          <w:rStyle w:val="BodyTextChar"/>
        </w:rPr>
        <w:t xml:space="preserve"> the client’s position is reopened</w:t>
      </w:r>
      <w:r w:rsidRPr="00AB0A4B">
        <w:t>.</w:t>
      </w:r>
    </w:p>
    <w:p w14:paraId="1839987E" w14:textId="77777777" w:rsidR="00AB0A4B" w:rsidRPr="009E471D" w:rsidRDefault="00AB0A4B" w:rsidP="00AB0A4B">
      <w:pPr>
        <w:pStyle w:val="ListParagraph"/>
        <w:ind w:left="360"/>
        <w:jc w:val="both"/>
        <w:rPr>
          <w:rFonts w:ascii="Cambria" w:hAnsi="Cambria"/>
          <w:b/>
        </w:rPr>
      </w:pPr>
    </w:p>
    <w:p w14:paraId="749BC5D4" w14:textId="36B68704" w:rsidR="00AB0A4B" w:rsidRDefault="00AB0A4B" w:rsidP="00DB65C4">
      <w:pPr>
        <w:pStyle w:val="Level2"/>
      </w:pPr>
      <w:r w:rsidRPr="007E03C5">
        <w:t>Termination (Field 15)</w:t>
      </w:r>
      <w:r w:rsidRPr="000340FC">
        <w:t xml:space="preserve"> </w:t>
      </w:r>
    </w:p>
    <w:p w14:paraId="67EBC817" w14:textId="77777777" w:rsidR="00DB65C4" w:rsidRDefault="00AB0A4B" w:rsidP="00AB0A4B">
      <w:pPr>
        <w:pStyle w:val="BodyText"/>
      </w:pPr>
      <w:r>
        <w:t>This field is reported only when</w:t>
      </w:r>
      <w:r w:rsidRPr="000340FC">
        <w:t xml:space="preserve"> the UTI is closed and </w:t>
      </w:r>
      <w:r>
        <w:t xml:space="preserve">left </w:t>
      </w:r>
      <w:r w:rsidRPr="000340FC">
        <w:t>blank prior to that point.</w:t>
      </w:r>
    </w:p>
    <w:p w14:paraId="28360106" w14:textId="618289C2" w:rsidR="00AB0A4B" w:rsidRDefault="00AB0A4B" w:rsidP="00AB0A4B">
      <w:pPr>
        <w:pStyle w:val="BodyText"/>
      </w:pPr>
      <w:r>
        <w:lastRenderedPageBreak/>
        <w:t>In other words, this field should only be populated if the relationship is closed at top level – i.e. if the margin loan goes to zero, this should not be reported as a termination unless the relationship is over.</w:t>
      </w:r>
    </w:p>
    <w:p w14:paraId="3AD219A6" w14:textId="77777777" w:rsidR="00AB0A4B" w:rsidRDefault="00AB0A4B" w:rsidP="00AB0A4B">
      <w:pPr>
        <w:pStyle w:val="BodyText"/>
      </w:pPr>
      <w:r>
        <w:t xml:space="preserve">For more details regarding </w:t>
      </w:r>
      <w:r w:rsidRPr="009E471D">
        <w:t>UTI generation</w:t>
      </w:r>
      <w:r>
        <w:t xml:space="preserve"> and </w:t>
      </w:r>
      <w:r w:rsidRPr="009E471D">
        <w:t xml:space="preserve">maintenance, please see the </w:t>
      </w:r>
      <w:r>
        <w:t>Appendix A.</w:t>
      </w:r>
    </w:p>
    <w:p w14:paraId="292EC04F" w14:textId="77777777" w:rsidR="00AB0A4B" w:rsidRDefault="00AB0A4B" w:rsidP="00AB0A4B">
      <w:pPr>
        <w:jc w:val="both"/>
        <w:rPr>
          <w:rFonts w:ascii="Cambria" w:hAnsi="Cambria"/>
        </w:rPr>
      </w:pPr>
    </w:p>
    <w:p w14:paraId="019469B9" w14:textId="5D38E392" w:rsidR="00AB0A4B" w:rsidRDefault="00AB0A4B" w:rsidP="00DB65C4">
      <w:pPr>
        <w:pStyle w:val="Level2"/>
      </w:pPr>
      <w:r w:rsidRPr="00E317A6">
        <w:rPr>
          <w:u w:val="single"/>
        </w:rPr>
        <w:t xml:space="preserve">Fields 23 to </w:t>
      </w:r>
      <w:r>
        <w:rPr>
          <w:u w:val="single"/>
        </w:rPr>
        <w:t>34</w:t>
      </w:r>
      <w:r w:rsidRPr="000340FC">
        <w:t xml:space="preserve"> </w:t>
      </w:r>
      <w:r>
        <w:t xml:space="preserve">are </w:t>
      </w:r>
      <w:r w:rsidRPr="000340FC">
        <w:t xml:space="preserve">repeatable for each currency in the margin loan. </w:t>
      </w:r>
    </w:p>
    <w:p w14:paraId="2065272E" w14:textId="77777777" w:rsidR="00AB0A4B" w:rsidRDefault="00AB0A4B" w:rsidP="00AB0A4B">
      <w:pPr>
        <w:pStyle w:val="BodyText"/>
      </w:pPr>
      <w:r w:rsidRPr="00E317A6">
        <w:rPr>
          <w:b/>
          <w:bCs/>
          <w:u w:val="single"/>
        </w:rPr>
        <w:t>Either</w:t>
      </w:r>
      <w:r w:rsidRPr="000340FC">
        <w:t xml:space="preserve"> fields 23-24 (fixed rate and day count convention) </w:t>
      </w:r>
      <w:r w:rsidRPr="00E317A6">
        <w:rPr>
          <w:b/>
          <w:bCs/>
          <w:u w:val="single"/>
        </w:rPr>
        <w:t>or</w:t>
      </w:r>
      <w:r w:rsidRPr="000340FC">
        <w:t xml:space="preserve"> fields 25-32 (relating to floating rate instruments) </w:t>
      </w:r>
      <w:r>
        <w:t>should</w:t>
      </w:r>
      <w:r w:rsidRPr="000340FC">
        <w:t xml:space="preserve"> be populated for each currency.</w:t>
      </w:r>
    </w:p>
    <w:p w14:paraId="639CC74E" w14:textId="77777777" w:rsidR="00AB0A4B" w:rsidRPr="00927BF0" w:rsidRDefault="00AB0A4B" w:rsidP="00AB0A4B">
      <w:pPr>
        <w:pStyle w:val="ListParagraph"/>
        <w:ind w:left="360"/>
        <w:jc w:val="both"/>
        <w:rPr>
          <w:rFonts w:ascii="Cambria" w:hAnsi="Cambria"/>
        </w:rPr>
      </w:pPr>
    </w:p>
    <w:p w14:paraId="1096F300" w14:textId="1DCC5F8D" w:rsidR="00AB0A4B" w:rsidRPr="00072D4B" w:rsidRDefault="00AB0A4B" w:rsidP="00DB65C4">
      <w:pPr>
        <w:pStyle w:val="Level2"/>
      </w:pPr>
      <w:r>
        <w:t>Field 33 (Individual Margin Loan Constituents by currency)</w:t>
      </w:r>
    </w:p>
    <w:p w14:paraId="09F4FD8D" w14:textId="77777777" w:rsidR="00AB0A4B" w:rsidRDefault="00AB0A4B" w:rsidP="00AB0A4B">
      <w:pPr>
        <w:pStyle w:val="BodyText"/>
      </w:pPr>
      <w:r>
        <w:t xml:space="preserve">In line with the overall margin amount, a net client debit </w:t>
      </w:r>
      <w:proofErr w:type="gramStart"/>
      <w:r>
        <w:t>in a given</w:t>
      </w:r>
      <w:proofErr w:type="gramEnd"/>
      <w:r>
        <w:t xml:space="preserve"> currency should be reported as a positive value together with the currency, while a net client credit balance should be reported as a negative value.</w:t>
      </w:r>
    </w:p>
    <w:p w14:paraId="16AFC6B1" w14:textId="77777777" w:rsidR="00AB0A4B" w:rsidRPr="00614A75" w:rsidRDefault="00AB0A4B" w:rsidP="00AB0A4B">
      <w:pPr>
        <w:ind w:left="360"/>
        <w:jc w:val="both"/>
        <w:rPr>
          <w:rFonts w:ascii="Cambria" w:hAnsi="Cambria"/>
        </w:rPr>
      </w:pPr>
    </w:p>
    <w:p w14:paraId="70663E2D" w14:textId="10504B74" w:rsidR="00AB0A4B" w:rsidRDefault="00AB0A4B" w:rsidP="00DB65C4">
      <w:pPr>
        <w:pStyle w:val="Level2"/>
      </w:pPr>
      <w:r w:rsidRPr="007B367D">
        <w:t>Outstanding margin Loan (Field 69)</w:t>
      </w:r>
    </w:p>
    <w:p w14:paraId="5E1E6080" w14:textId="77777777" w:rsidR="00AB0A4B" w:rsidRDefault="00AB0A4B" w:rsidP="00AB0A4B">
      <w:pPr>
        <w:pStyle w:val="BodyText"/>
      </w:pPr>
      <w:r>
        <w:t>This field should be populated w</w:t>
      </w:r>
      <w:r w:rsidRPr="000340FC">
        <w:t xml:space="preserve">ith the amount of the margin loan (i.e., the net cash balance). </w:t>
      </w:r>
    </w:p>
    <w:p w14:paraId="4E6906FC" w14:textId="77777777" w:rsidR="00AB0A4B" w:rsidRDefault="00AB0A4B" w:rsidP="00AB0A4B">
      <w:pPr>
        <w:pStyle w:val="BodyText"/>
      </w:pPr>
      <w:r>
        <w:t>The overall outstanding margin loan amount should either be reported as “0” (when the client has an overall cash credit/is long cash) or as a positive number (when the client has an overall cash debit/is short cash in the base currency).</w:t>
      </w:r>
    </w:p>
    <w:p w14:paraId="2E3DCE62" w14:textId="77777777" w:rsidR="00AB0A4B" w:rsidRPr="00294A0F" w:rsidRDefault="00AB0A4B" w:rsidP="00AB0A4B">
      <w:pPr>
        <w:pStyle w:val="BodyText"/>
      </w:pPr>
      <w:r w:rsidRPr="00294A0F">
        <w:t xml:space="preserve">For a particular reporting date, members intend to report the value dated cash loan and deposit balances for COB reporting date -1. </w:t>
      </w:r>
    </w:p>
    <w:p w14:paraId="14236177" w14:textId="77777777" w:rsidR="00AB0A4B" w:rsidRPr="00E5756A" w:rsidRDefault="00AB0A4B" w:rsidP="00AB0A4B">
      <w:pPr>
        <w:pStyle w:val="BodyText"/>
      </w:pPr>
      <w:r w:rsidRPr="00294A0F">
        <w:t>Members agreed to make their own determination on whether the value dated loan positions should or should not take account of failed trades.</w:t>
      </w:r>
      <w:r w:rsidRPr="00E5756A">
        <w:t xml:space="preserve"> </w:t>
      </w:r>
    </w:p>
    <w:p w14:paraId="2C5EE03B" w14:textId="77777777" w:rsidR="00AB0A4B" w:rsidRPr="006A6EA3" w:rsidRDefault="00AB0A4B" w:rsidP="00AB0A4B">
      <w:pPr>
        <w:pStyle w:val="ListParagraph"/>
        <w:ind w:left="360"/>
        <w:jc w:val="both"/>
        <w:rPr>
          <w:rFonts w:ascii="Cambria" w:hAnsi="Cambria"/>
        </w:rPr>
      </w:pPr>
    </w:p>
    <w:p w14:paraId="4ECD14A5" w14:textId="359C7F46" w:rsidR="00AB0A4B" w:rsidRPr="00072D4B" w:rsidRDefault="00AB0A4B" w:rsidP="00DB65C4">
      <w:pPr>
        <w:pStyle w:val="Level2"/>
      </w:pPr>
      <w:r w:rsidRPr="00072D4B">
        <w:t>Short Market Value (SMV) (Field 71)</w:t>
      </w:r>
    </w:p>
    <w:p w14:paraId="3E3267EA" w14:textId="77777777" w:rsidR="00AB0A4B" w:rsidRDefault="00AB0A4B" w:rsidP="00AB0A4B">
      <w:pPr>
        <w:pStyle w:val="BodyText"/>
      </w:pPr>
      <w:r>
        <w:t>Report the existence of SMV as a positive number (this field would therefore never be less than “0”)</w:t>
      </w:r>
    </w:p>
    <w:p w14:paraId="2EC95B18" w14:textId="77777777" w:rsidR="00AB0A4B" w:rsidRDefault="00AB0A4B" w:rsidP="00AB0A4B">
      <w:pPr>
        <w:pStyle w:val="BodyText"/>
      </w:pPr>
      <w:r>
        <w:t>Where a client has SMV, but no margin loan, report the SMV and the long collateral that supports it.  Therefore, the long client PB assets would also be populated in the collateral fields (Fields 74-94) as appropriate.</w:t>
      </w:r>
    </w:p>
    <w:p w14:paraId="7DB86E73" w14:textId="07886C33" w:rsidR="00AB0A4B" w:rsidRDefault="00AB0A4B" w:rsidP="00AB0A4B">
      <w:pPr>
        <w:pStyle w:val="BodyText"/>
      </w:pPr>
      <w:r w:rsidRPr="00072D4B">
        <w:t>Given that SMV can also be collateralised by (net) long cash balances, the in-currency long and short cash balance</w:t>
      </w:r>
      <w:r>
        <w:t xml:space="preserve">s should be reported in the </w:t>
      </w:r>
      <w:r w:rsidRPr="00072D4B">
        <w:t>margin loan constituent fields (Fields 2</w:t>
      </w:r>
      <w:r>
        <w:t>3</w:t>
      </w:r>
      <w:r w:rsidRPr="00072D4B">
        <w:t xml:space="preserve"> -24 as applicable).  Note tha</w:t>
      </w:r>
      <w:r>
        <w:t xml:space="preserve">t in the </w:t>
      </w:r>
      <w:r w:rsidRPr="00072D4B">
        <w:t>above scenario, Field 69 (Outstanding net margin loan) would be reported as zero.</w:t>
      </w:r>
    </w:p>
    <w:p w14:paraId="17AB9342" w14:textId="06061F9B" w:rsidR="0088088C" w:rsidRPr="00823509" w:rsidRDefault="0088088C" w:rsidP="00AB0A4B">
      <w:pPr>
        <w:pStyle w:val="BodyText"/>
      </w:pPr>
      <w:r w:rsidRPr="00823509">
        <w:t>In a scenario where the client has SMV, but no margin loan or cash balances, members generally agreed that the below fields should be populated as follows:</w:t>
      </w:r>
    </w:p>
    <w:p w14:paraId="0A9B4634" w14:textId="77777777" w:rsidR="0088088C" w:rsidRPr="00823509" w:rsidRDefault="0088088C" w:rsidP="0088088C">
      <w:pPr>
        <w:pStyle w:val="ListParagraph"/>
        <w:numPr>
          <w:ilvl w:val="1"/>
          <w:numId w:val="45"/>
        </w:numPr>
        <w:spacing w:after="160" w:line="259" w:lineRule="auto"/>
        <w:jc w:val="both"/>
        <w:rPr>
          <w:rFonts w:ascii="Cambria" w:hAnsi="Cambria"/>
        </w:rPr>
      </w:pPr>
      <w:r w:rsidRPr="00823509">
        <w:rPr>
          <w:rFonts w:ascii="Cambria" w:hAnsi="Cambria"/>
        </w:rPr>
        <w:t>2.34 Margin lending currency = USD</w:t>
      </w:r>
    </w:p>
    <w:p w14:paraId="01E0E075" w14:textId="77777777" w:rsidR="0088088C" w:rsidRPr="00823509" w:rsidRDefault="0088088C" w:rsidP="0088088C">
      <w:pPr>
        <w:pStyle w:val="ListParagraph"/>
        <w:numPr>
          <w:ilvl w:val="1"/>
          <w:numId w:val="45"/>
        </w:numPr>
        <w:spacing w:after="160" w:line="259" w:lineRule="auto"/>
        <w:jc w:val="both"/>
        <w:rPr>
          <w:rFonts w:ascii="Cambria" w:hAnsi="Cambria"/>
        </w:rPr>
      </w:pPr>
      <w:r w:rsidRPr="00823509">
        <w:rPr>
          <w:rFonts w:ascii="Cambria" w:hAnsi="Cambria"/>
        </w:rPr>
        <w:t>2.69 Outstanding margin loan = 0</w:t>
      </w:r>
    </w:p>
    <w:p w14:paraId="2B0F9862" w14:textId="77777777" w:rsidR="0088088C" w:rsidRPr="00823509" w:rsidRDefault="0088088C" w:rsidP="0088088C">
      <w:pPr>
        <w:pStyle w:val="ListParagraph"/>
        <w:numPr>
          <w:ilvl w:val="1"/>
          <w:numId w:val="45"/>
        </w:numPr>
        <w:spacing w:after="160" w:line="259" w:lineRule="auto"/>
        <w:jc w:val="both"/>
        <w:rPr>
          <w:rFonts w:ascii="Cambria" w:hAnsi="Cambria"/>
        </w:rPr>
      </w:pPr>
      <w:r w:rsidRPr="00823509">
        <w:rPr>
          <w:rFonts w:ascii="Cambria" w:hAnsi="Cambria"/>
        </w:rPr>
        <w:t>2.23 Fixed Rate = 0</w:t>
      </w:r>
    </w:p>
    <w:p w14:paraId="1055C412" w14:textId="77777777" w:rsidR="0088088C" w:rsidRPr="00823509" w:rsidRDefault="0088088C" w:rsidP="0088088C">
      <w:pPr>
        <w:pStyle w:val="ListParagraph"/>
        <w:numPr>
          <w:ilvl w:val="1"/>
          <w:numId w:val="45"/>
        </w:numPr>
        <w:spacing w:after="160" w:line="259" w:lineRule="auto"/>
        <w:jc w:val="both"/>
        <w:rPr>
          <w:rFonts w:ascii="Cambria" w:hAnsi="Cambria"/>
        </w:rPr>
      </w:pPr>
      <w:r w:rsidRPr="00823509">
        <w:rPr>
          <w:rFonts w:ascii="Cambria" w:hAnsi="Cambria"/>
        </w:rPr>
        <w:t>2.24 Day count convention = A004</w:t>
      </w:r>
    </w:p>
    <w:p w14:paraId="27721D9A" w14:textId="59774E8F" w:rsidR="00AB0A4B" w:rsidRDefault="00AB0A4B" w:rsidP="00B12AD7">
      <w:pPr>
        <w:jc w:val="both"/>
        <w:rPr>
          <w:rFonts w:ascii="Cambria" w:hAnsi="Cambria"/>
        </w:rPr>
      </w:pPr>
    </w:p>
    <w:p w14:paraId="510D9EB0" w14:textId="1935F128" w:rsidR="00B12AD7" w:rsidRDefault="001720AF" w:rsidP="00B12AD7">
      <w:pPr>
        <w:jc w:val="both"/>
        <w:rPr>
          <w:rFonts w:ascii="Cambria" w:hAnsi="Cambria"/>
        </w:rPr>
      </w:pPr>
      <w:r w:rsidRPr="00C80D54">
        <w:rPr>
          <w:rFonts w:ascii="Cambria" w:hAnsi="Cambria"/>
        </w:rPr>
        <w:t xml:space="preserve">AFME’s understanding is that prime brokers should report prime brokerage securities lending as the short market value in the margin lending data </w:t>
      </w:r>
      <w:proofErr w:type="gramStart"/>
      <w:r w:rsidRPr="00C80D54">
        <w:rPr>
          <w:rFonts w:ascii="Cambria" w:hAnsi="Cambria"/>
        </w:rPr>
        <w:t>tables, and</w:t>
      </w:r>
      <w:proofErr w:type="gramEnd"/>
      <w:r w:rsidRPr="00C80D54">
        <w:rPr>
          <w:rFonts w:ascii="Cambria" w:hAnsi="Cambria"/>
        </w:rPr>
        <w:t xml:space="preserve"> would not be expected to duplicate that information by also reporting that information as a “securities loan” in the securities lending data tables. Prime brokers will report this information at the total level for each client on the relevant day, in the client’s base currency.</w:t>
      </w:r>
    </w:p>
    <w:p w14:paraId="7F2F6D0B" w14:textId="77777777" w:rsidR="00B12AD7" w:rsidRPr="00B12AD7" w:rsidRDefault="00B12AD7" w:rsidP="00B12AD7">
      <w:pPr>
        <w:jc w:val="both"/>
        <w:rPr>
          <w:rFonts w:ascii="Cambria" w:hAnsi="Cambria"/>
        </w:rPr>
      </w:pPr>
    </w:p>
    <w:p w14:paraId="5FE65F1B" w14:textId="404771F9" w:rsidR="00AB0A4B" w:rsidRPr="00294A0F" w:rsidRDefault="00AB0A4B" w:rsidP="00DB65C4">
      <w:pPr>
        <w:pStyle w:val="Level2"/>
      </w:pPr>
      <w:r w:rsidRPr="00294A0F">
        <w:lastRenderedPageBreak/>
        <w:t>Collateral Data</w:t>
      </w:r>
    </w:p>
    <w:p w14:paraId="23DB778F" w14:textId="77777777" w:rsidR="00AB0A4B" w:rsidRPr="00294A0F" w:rsidRDefault="00AB0A4B" w:rsidP="00AB0A4B">
      <w:pPr>
        <w:pStyle w:val="BodyText"/>
      </w:pPr>
      <w:r w:rsidRPr="00294A0F">
        <w:t>For a particular reporting date, members intend to report the assets held as of COB reporting date -1.</w:t>
      </w:r>
    </w:p>
    <w:p w14:paraId="3586803E" w14:textId="77777777" w:rsidR="00AB0A4B" w:rsidRDefault="00AB0A4B" w:rsidP="00AB0A4B">
      <w:pPr>
        <w:pStyle w:val="BodyText"/>
      </w:pPr>
      <w:r w:rsidRPr="00294A0F">
        <w:t xml:space="preserve">Members agreed to make their own determination on whether the value dated security collateral positions should or should not take account of failed trades. </w:t>
      </w:r>
    </w:p>
    <w:p w14:paraId="15B76901" w14:textId="77777777" w:rsidR="00DB65C4" w:rsidRPr="00DB65C4" w:rsidRDefault="00DB65C4" w:rsidP="00DB65C4">
      <w:pPr>
        <w:jc w:val="both"/>
        <w:rPr>
          <w:rFonts w:ascii="Cambria" w:hAnsi="Cambria"/>
        </w:rPr>
      </w:pPr>
    </w:p>
    <w:p w14:paraId="0C5C4F32" w14:textId="4F8EBEAB" w:rsidR="00AB0A4B" w:rsidRPr="00294A0F" w:rsidRDefault="00AB0A4B" w:rsidP="00DB65C4">
      <w:pPr>
        <w:pStyle w:val="Level2"/>
      </w:pPr>
      <w:r w:rsidRPr="00294A0F">
        <w:t xml:space="preserve">Type of Collateral Component (Field 75) </w:t>
      </w:r>
    </w:p>
    <w:p w14:paraId="4C56F2A7" w14:textId="77777777" w:rsidR="00AB0A4B" w:rsidRPr="00294A0F" w:rsidRDefault="00AB0A4B" w:rsidP="00AB0A4B">
      <w:pPr>
        <w:pStyle w:val="BodyText"/>
      </w:pPr>
      <w:r>
        <w:t>M</w:t>
      </w:r>
      <w:r w:rsidRPr="00294A0F">
        <w:t xml:space="preserve">embers consider that derivatives held as collateral (including Equity Options) cannot be classified as cash, securities or commodities and thus are out of scope for reporting. </w:t>
      </w:r>
    </w:p>
    <w:p w14:paraId="3EA7C111" w14:textId="77777777" w:rsidR="00AB0A4B" w:rsidRPr="00AB0A4B" w:rsidRDefault="00AB0A4B" w:rsidP="00AB0A4B">
      <w:pPr>
        <w:pStyle w:val="BodyText"/>
      </w:pPr>
      <w:r w:rsidRPr="00AB0A4B">
        <w:t xml:space="preserve">It was concluded that these could not be accurately reported as securities </w:t>
      </w:r>
      <w:proofErr w:type="gramStart"/>
      <w:r w:rsidRPr="00AB0A4B">
        <w:t>due to the fact that</w:t>
      </w:r>
      <w:proofErr w:type="gramEnd"/>
      <w:r w:rsidRPr="00AB0A4B">
        <w:t xml:space="preserve"> the following mandatory fields for securities are not applicable:</w:t>
      </w:r>
    </w:p>
    <w:p w14:paraId="44A67F32" w14:textId="77777777" w:rsidR="00AB0A4B" w:rsidRPr="00294A0F" w:rsidRDefault="00AB0A4B" w:rsidP="00AB0A4B">
      <w:pPr>
        <w:pStyle w:val="Bullets1"/>
      </w:pPr>
      <w:r w:rsidRPr="00294A0F">
        <w:t>Field 55 – Security Type</w:t>
      </w:r>
    </w:p>
    <w:p w14:paraId="426A68B9" w14:textId="77777777" w:rsidR="00AB0A4B" w:rsidRPr="00294A0F" w:rsidRDefault="00AB0A4B" w:rsidP="00AB0A4B">
      <w:pPr>
        <w:pStyle w:val="Bullets1"/>
      </w:pPr>
      <w:r w:rsidRPr="00294A0F">
        <w:t>Field 92 – Jurisdiction of the Issuer</w:t>
      </w:r>
    </w:p>
    <w:p w14:paraId="07404698" w14:textId="77777777" w:rsidR="00AB0A4B" w:rsidRDefault="00AB0A4B" w:rsidP="00AB0A4B">
      <w:pPr>
        <w:pStyle w:val="Bullets1"/>
      </w:pPr>
      <w:r w:rsidRPr="00294A0F">
        <w:t>Field 93 – LEI of the Issuer</w:t>
      </w:r>
    </w:p>
    <w:p w14:paraId="47E0F056" w14:textId="77777777" w:rsidR="00AB0A4B" w:rsidRPr="005719A3" w:rsidRDefault="00AB0A4B" w:rsidP="00AB0A4B">
      <w:pPr>
        <w:pStyle w:val="ListParagraph"/>
        <w:ind w:left="360"/>
        <w:jc w:val="both"/>
        <w:rPr>
          <w:rFonts w:ascii="Cambria" w:hAnsi="Cambria"/>
          <w:b/>
        </w:rPr>
      </w:pPr>
    </w:p>
    <w:p w14:paraId="1B70F926" w14:textId="649D78A7" w:rsidR="00AB0A4B" w:rsidRPr="00294A0F" w:rsidRDefault="00AB0A4B" w:rsidP="00DB65C4">
      <w:pPr>
        <w:pStyle w:val="Level2"/>
      </w:pPr>
      <w:r w:rsidRPr="00294A0F">
        <w:t>Haircut or Margin (Field 89)</w:t>
      </w:r>
    </w:p>
    <w:p w14:paraId="5812DB7A" w14:textId="77777777" w:rsidR="00AB0A4B" w:rsidRPr="005719A3" w:rsidRDefault="00AB0A4B" w:rsidP="00AB0A4B">
      <w:pPr>
        <w:pStyle w:val="BodyText"/>
      </w:pPr>
      <w:r w:rsidRPr="00294A0F">
        <w:t>Given that PB margin is generally calculated on a trade date basis, firms may choose to take different approaches based on what is possible from a technical point of view. One possible approach is to look at the trade date margin records from reporting date-2 and use the margin requirement/haircuts calculated in the portfolio at that date. This is on the basis that regular trade settlement is on T+2, meaning the margin that is calculated on the morning of T+1 should represent the value dated positions as at cob T+2.</w:t>
      </w:r>
    </w:p>
    <w:p w14:paraId="667ACBC2" w14:textId="77777777" w:rsidR="00AB0A4B" w:rsidRPr="00AB0A4B" w:rsidRDefault="00AB0A4B" w:rsidP="00AB0A4B">
      <w:pPr>
        <w:jc w:val="both"/>
        <w:rPr>
          <w:rFonts w:ascii="Cambria" w:hAnsi="Cambria"/>
        </w:rPr>
      </w:pPr>
    </w:p>
    <w:p w14:paraId="0FE7B5A9" w14:textId="61CB77E0" w:rsidR="00AB0A4B" w:rsidRDefault="00AB0A4B" w:rsidP="00DB65C4">
      <w:pPr>
        <w:pStyle w:val="Level2"/>
      </w:pPr>
      <w:r w:rsidRPr="00554FAB">
        <w:t>Availability for collateral reuse – (Field 95)</w:t>
      </w:r>
    </w:p>
    <w:p w14:paraId="4730C240" w14:textId="77777777" w:rsidR="00AB0A4B" w:rsidRPr="000340FC" w:rsidRDefault="00AB0A4B" w:rsidP="00AB0A4B">
      <w:pPr>
        <w:pStyle w:val="BodyText"/>
      </w:pPr>
      <w:r>
        <w:t>T</w:t>
      </w:r>
      <w:r w:rsidRPr="000340FC">
        <w:t xml:space="preserve">his would be based on contractual arrangements more than anything else and therefore </w:t>
      </w:r>
      <w:r>
        <w:t>a PB</w:t>
      </w:r>
      <w:r w:rsidRPr="000340FC">
        <w:t xml:space="preserve"> would answer “true” with respect to any security for which </w:t>
      </w:r>
      <w:r>
        <w:t>the PB</w:t>
      </w:r>
      <w:r w:rsidRPr="000340FC">
        <w:t xml:space="preserve"> has a contractual right </w:t>
      </w:r>
      <w:r>
        <w:t>of</w:t>
      </w:r>
      <w:r w:rsidRPr="000340FC">
        <w:t xml:space="preserve"> reuse. </w:t>
      </w:r>
    </w:p>
    <w:p w14:paraId="3498F162" w14:textId="77777777" w:rsidR="00AB0A4B" w:rsidRDefault="00AB0A4B" w:rsidP="00AB0A4B">
      <w:pPr>
        <w:pStyle w:val="ListParagraph"/>
        <w:ind w:left="360"/>
        <w:jc w:val="both"/>
        <w:rPr>
          <w:rFonts w:ascii="Cambria" w:hAnsi="Cambria"/>
          <w:b/>
        </w:rPr>
      </w:pPr>
    </w:p>
    <w:p w14:paraId="6A711829" w14:textId="1E50D87A" w:rsidR="00AB0A4B" w:rsidRDefault="00AB0A4B" w:rsidP="00DB65C4">
      <w:pPr>
        <w:pStyle w:val="Level2"/>
      </w:pPr>
      <w:r w:rsidRPr="00554FAB">
        <w:t>Action Types (Field 98)</w:t>
      </w:r>
    </w:p>
    <w:p w14:paraId="0FB8DBC0" w14:textId="77777777" w:rsidR="00AB0A4B" w:rsidRDefault="00AB0A4B" w:rsidP="00AB0A4B">
      <w:pPr>
        <w:pStyle w:val="Heading1"/>
      </w:pPr>
      <w:r>
        <w:t>New (“NEWT”)</w:t>
      </w:r>
    </w:p>
    <w:p w14:paraId="41D31C15" w14:textId="77777777" w:rsidR="00AB0A4B" w:rsidRPr="00927BF0" w:rsidRDefault="00AB0A4B" w:rsidP="00AB0A4B">
      <w:pPr>
        <w:pStyle w:val="BodyText"/>
      </w:pPr>
      <w:r w:rsidRPr="00927BF0">
        <w:t>Report this action type when starting a relationship with a new client</w:t>
      </w:r>
      <w:r>
        <w:t xml:space="preserve"> [or when starting a new relationship with a client for which you have previously ended a relationship – and therefore reported a “Termination” with respect to that client. This action type should also be used when [CCP margins and] collateral reuse </w:t>
      </w:r>
      <w:proofErr w:type="gramStart"/>
      <w:r>
        <w:t>are</w:t>
      </w:r>
      <w:proofErr w:type="gramEnd"/>
      <w:r>
        <w:t xml:space="preserve"> reported for the first time.</w:t>
      </w:r>
    </w:p>
    <w:p w14:paraId="5AE92878" w14:textId="77777777" w:rsidR="00AB0A4B" w:rsidRDefault="00AB0A4B" w:rsidP="00AB0A4B">
      <w:pPr>
        <w:pStyle w:val="Heading1"/>
      </w:pPr>
      <w:r>
        <w:t>Modification (“MODI”)</w:t>
      </w:r>
    </w:p>
    <w:p w14:paraId="3DC27170" w14:textId="77777777" w:rsidR="00AB0A4B" w:rsidRPr="000340FC" w:rsidRDefault="00AB0A4B" w:rsidP="00AB0A4B">
      <w:pPr>
        <w:pStyle w:val="BodyText"/>
        <w:rPr>
          <w:b/>
        </w:rPr>
      </w:pPr>
      <w:r>
        <w:t xml:space="preserve">Every change should be reported </w:t>
      </w:r>
      <w:r w:rsidRPr="000340FC">
        <w:t xml:space="preserve">as a Modification (other </w:t>
      </w:r>
      <w:r>
        <w:t xml:space="preserve">than </w:t>
      </w:r>
      <w:r w:rsidRPr="000340FC">
        <w:t>as set</w:t>
      </w:r>
      <w:r>
        <w:t xml:space="preserve"> </w:t>
      </w:r>
      <w:r w:rsidRPr="000340FC">
        <w:t>forth below with respect to</w:t>
      </w:r>
      <w:r>
        <w:t xml:space="preserve"> reporting “C</w:t>
      </w:r>
      <w:r w:rsidRPr="000340FC">
        <w:t xml:space="preserve">ollateral </w:t>
      </w:r>
      <w:r>
        <w:t>Reuse U</w:t>
      </w:r>
      <w:r w:rsidRPr="000340FC">
        <w:t>pdates</w:t>
      </w:r>
      <w:r>
        <w:t>”</w:t>
      </w:r>
      <w:r w:rsidRPr="000340FC">
        <w:t>).</w:t>
      </w:r>
    </w:p>
    <w:p w14:paraId="6786BA77" w14:textId="77777777" w:rsidR="00AB0A4B" w:rsidRPr="000340FC" w:rsidRDefault="00AB0A4B" w:rsidP="00AB0A4B">
      <w:pPr>
        <w:pStyle w:val="BodyText"/>
      </w:pPr>
      <w:r w:rsidRPr="000340FC">
        <w:t xml:space="preserve">If a margin loan goes to zero, report </w:t>
      </w:r>
      <w:r>
        <w:t xml:space="preserve">this as a </w:t>
      </w:r>
      <w:r w:rsidRPr="000340FC">
        <w:t>“Mod</w:t>
      </w:r>
      <w:r>
        <w:t>i</w:t>
      </w:r>
      <w:r w:rsidRPr="000340FC">
        <w:t>fication</w:t>
      </w:r>
      <w:r>
        <w:t>”</w:t>
      </w:r>
      <w:r w:rsidRPr="000340FC">
        <w:t xml:space="preserve"> with no termination date</w:t>
      </w:r>
      <w:r w:rsidRPr="000340FC">
        <w:rPr>
          <w:b/>
        </w:rPr>
        <w:t xml:space="preserve">. </w:t>
      </w:r>
    </w:p>
    <w:p w14:paraId="36AC4CD6" w14:textId="77777777" w:rsidR="00AB0A4B" w:rsidRDefault="00AB0A4B" w:rsidP="00AB0A4B">
      <w:pPr>
        <w:pStyle w:val="BodyText"/>
      </w:pPr>
      <w:r w:rsidRPr="000340FC">
        <w:t xml:space="preserve">If there are changes in the margin loan and/or the SMV, report </w:t>
      </w:r>
      <w:r>
        <w:t>this as a “M</w:t>
      </w:r>
      <w:r w:rsidRPr="000340FC">
        <w:t>odification</w:t>
      </w:r>
      <w:r>
        <w:t>”</w:t>
      </w:r>
      <w:r w:rsidRPr="000340FC">
        <w:t xml:space="preserve"> (and assume that the collateral may have changed </w:t>
      </w:r>
      <w:r>
        <w:t>as well).</w:t>
      </w:r>
    </w:p>
    <w:p w14:paraId="0B0C6CE9" w14:textId="77777777" w:rsidR="00AB0A4B" w:rsidRDefault="00AB0A4B" w:rsidP="00AB0A4B">
      <w:pPr>
        <w:pStyle w:val="Heading1"/>
      </w:pPr>
      <w:r w:rsidRPr="00927BF0">
        <w:t>Error</w:t>
      </w:r>
      <w:r>
        <w:t xml:space="preserve"> (“EROR”)</w:t>
      </w:r>
    </w:p>
    <w:p w14:paraId="76BADED6" w14:textId="77777777" w:rsidR="00AB0A4B" w:rsidRDefault="00AB0A4B" w:rsidP="00AB0A4B">
      <w:pPr>
        <w:pStyle w:val="BodyText"/>
      </w:pPr>
      <w:r w:rsidRPr="00927BF0">
        <w:lastRenderedPageBreak/>
        <w:t xml:space="preserve">Report this action type </w:t>
      </w:r>
      <w:r>
        <w:t>to completely cancel a previously submitted report, (i.e. the related SFT never came into existence or was not subject to SFTR reporting requirements but was reported to the trade repository by mistake.)</w:t>
      </w:r>
    </w:p>
    <w:p w14:paraId="7A03C0C8" w14:textId="77777777" w:rsidR="00AB0A4B" w:rsidRDefault="00AB0A4B" w:rsidP="00AB0A4B">
      <w:pPr>
        <w:pStyle w:val="Heading1"/>
      </w:pPr>
      <w:r>
        <w:t>Correction (“CORR”)</w:t>
      </w:r>
    </w:p>
    <w:p w14:paraId="7D07C166" w14:textId="77777777" w:rsidR="00AB0A4B" w:rsidRDefault="00AB0A4B" w:rsidP="00AB0A4B">
      <w:pPr>
        <w:pStyle w:val="BodyText"/>
      </w:pPr>
      <w:r>
        <w:t xml:space="preserve">Use this action type to correct a previously submitted report (i.e. due to an error in the generation, processing or submission of the report.) This action type is required to distinguish the correction of an error from a change in the economic terms of the transaction. </w:t>
      </w:r>
    </w:p>
    <w:p w14:paraId="6358B8C6" w14:textId="77777777" w:rsidR="00AB0A4B" w:rsidRDefault="00AB0A4B" w:rsidP="00AB0A4B">
      <w:pPr>
        <w:pStyle w:val="Heading1"/>
      </w:pPr>
      <w:r>
        <w:t>Termination/Early Termination (“ETRM”)</w:t>
      </w:r>
    </w:p>
    <w:p w14:paraId="5DB56077" w14:textId="77777777" w:rsidR="00AB0A4B" w:rsidRDefault="00AB0A4B" w:rsidP="00AB0A4B">
      <w:pPr>
        <w:pStyle w:val="BodyText"/>
      </w:pPr>
      <w:r w:rsidRPr="005719A3">
        <w:rPr>
          <w:bCs/>
        </w:rPr>
        <w:t>According to the RTS</w:t>
      </w:r>
      <w:r>
        <w:rPr>
          <w:b/>
        </w:rPr>
        <w:t xml:space="preserve">, </w:t>
      </w:r>
      <w:r w:rsidRPr="00753C8F">
        <w:t>this action type “specifies a dedicated report to fully terminate an SFT prior to the contractually agreed end date, or to terminate an open ended SFT.</w:t>
      </w:r>
    </w:p>
    <w:p w14:paraId="12429B96" w14:textId="77777777" w:rsidR="00AB0A4B" w:rsidRDefault="00AB0A4B" w:rsidP="00AB0A4B">
      <w:pPr>
        <w:pStyle w:val="BodyText"/>
      </w:pPr>
      <w:r>
        <w:t>AFME members agree that</w:t>
      </w:r>
      <w:r w:rsidRPr="00753C8F">
        <w:t xml:space="preserve"> this action type would be used only when the PB is terminating its relationship with the relevant client and that other action types would be used in cases where changes have oc</w:t>
      </w:r>
      <w:r>
        <w:t>c</w:t>
      </w:r>
      <w:r w:rsidRPr="00753C8F">
        <w:t>ur</w:t>
      </w:r>
      <w:r>
        <w:t>r</w:t>
      </w:r>
      <w:r w:rsidRPr="00753C8F">
        <w:t>ed, but the client relationship has not been terminated.</w:t>
      </w:r>
    </w:p>
    <w:p w14:paraId="2057819E" w14:textId="77777777" w:rsidR="00AB0A4B" w:rsidRDefault="00AB0A4B" w:rsidP="00AB0A4B">
      <w:pPr>
        <w:pStyle w:val="Heading1"/>
      </w:pPr>
      <w:r>
        <w:t>Collateral Update (“COLU”)</w:t>
      </w:r>
    </w:p>
    <w:p w14:paraId="58143FBF" w14:textId="77777777" w:rsidR="00AB0A4B" w:rsidRDefault="00AB0A4B" w:rsidP="00AB0A4B">
      <w:pPr>
        <w:pStyle w:val="BodyText"/>
      </w:pPr>
      <w:r w:rsidRPr="000340FC">
        <w:t xml:space="preserve">If the margin loan and SMV do not change but there is a change in the relevant collateral, </w:t>
      </w:r>
      <w:r>
        <w:t xml:space="preserve">we would not </w:t>
      </w:r>
      <w:r w:rsidRPr="000340FC">
        <w:t xml:space="preserve">report </w:t>
      </w:r>
      <w:r>
        <w:t xml:space="preserve">this </w:t>
      </w:r>
      <w:r w:rsidRPr="000340FC">
        <w:t xml:space="preserve">as a “Modification” but </w:t>
      </w:r>
      <w:r>
        <w:t xml:space="preserve">would </w:t>
      </w:r>
      <w:r w:rsidRPr="000340FC">
        <w:t xml:space="preserve">rather report </w:t>
      </w:r>
      <w:r>
        <w:t xml:space="preserve">it </w:t>
      </w:r>
      <w:r w:rsidRPr="000340FC">
        <w:t xml:space="preserve">as a “Collateral Update”.  </w:t>
      </w:r>
    </w:p>
    <w:p w14:paraId="1BDE68D1" w14:textId="77777777" w:rsidR="00AB0A4B" w:rsidRDefault="00AB0A4B" w:rsidP="00AB0A4B">
      <w:pPr>
        <w:ind w:left="360"/>
        <w:jc w:val="both"/>
        <w:rPr>
          <w:rFonts w:ascii="Cambria" w:hAnsi="Cambria"/>
        </w:rPr>
      </w:pPr>
    </w:p>
    <w:p w14:paraId="3E67D904" w14:textId="69CCC2B6" w:rsidR="00AB0A4B" w:rsidRPr="0044340B" w:rsidRDefault="00AB0A4B" w:rsidP="00DB65C4">
      <w:pPr>
        <w:pStyle w:val="Level2"/>
      </w:pPr>
      <w:r w:rsidRPr="0044340B">
        <w:t>Reporting of Zero Collateral</w:t>
      </w:r>
      <w:r>
        <w:t xml:space="preserve"> </w:t>
      </w:r>
    </w:p>
    <w:p w14:paraId="30FD460C" w14:textId="77777777" w:rsidR="00AB0A4B" w:rsidRDefault="00AB0A4B" w:rsidP="00AB0A4B">
      <w:pPr>
        <w:pStyle w:val="BodyText"/>
      </w:pPr>
      <w:r>
        <w:t xml:space="preserve">As per the published validation rules, fields 76 (cash collateral amount) and 77 (cash collateral currency) are ineligible fields for Margin Lending. </w:t>
      </w:r>
    </w:p>
    <w:p w14:paraId="7F74FACB" w14:textId="77777777" w:rsidR="00AB0A4B" w:rsidRDefault="00AB0A4B" w:rsidP="00AB0A4B">
      <w:pPr>
        <w:pStyle w:val="BodyText"/>
      </w:pPr>
      <w:r w:rsidRPr="0044340B">
        <w:t>The ESMA Final Report provides an alternative, by which a Prime Broker can report a zero quantity against a single security ISIN with the collateral submission.</w:t>
      </w:r>
    </w:p>
    <w:p w14:paraId="45C6460A" w14:textId="5E45D1D7" w:rsidR="00AB0A4B" w:rsidRDefault="00AB0A4B" w:rsidP="00AB0A4B">
      <w:pPr>
        <w:pStyle w:val="BodyText"/>
      </w:pPr>
      <w:r>
        <w:t xml:space="preserve">AFME members intend to use the  ISIN </w:t>
      </w:r>
      <w:r w:rsidR="00823509">
        <w:rPr>
          <w:rFonts w:ascii="Cambria" w:hAnsi="Cambria"/>
        </w:rPr>
        <w:t>EU000A1G0EB6</w:t>
      </w:r>
      <w:r w:rsidR="00823509">
        <w:t xml:space="preserve"> </w:t>
      </w:r>
      <w:r>
        <w:t xml:space="preserve">for this purpose, as </w:t>
      </w:r>
      <w:r w:rsidR="00823509">
        <w:t>recommen</w:t>
      </w:r>
      <w:r w:rsidR="008A0354">
        <w:t xml:space="preserve">ded in the </w:t>
      </w:r>
      <w:hyperlink r:id="rId11" w:history="1">
        <w:r w:rsidR="008A0354" w:rsidRPr="00F10629">
          <w:rPr>
            <w:rStyle w:val="Hyperlink"/>
          </w:rPr>
          <w:t xml:space="preserve">ESMA Q&amp;As. </w:t>
        </w:r>
      </w:hyperlink>
      <w:r>
        <w:t xml:space="preserve"> </w:t>
      </w:r>
    </w:p>
    <w:p w14:paraId="358ED5B6" w14:textId="71C9A59B" w:rsidR="00912997" w:rsidRDefault="00912997" w:rsidP="00AB0A4B">
      <w:pPr>
        <w:pStyle w:val="BodyText"/>
      </w:pPr>
    </w:p>
    <w:p w14:paraId="261AD42B" w14:textId="746CC521" w:rsidR="00912997" w:rsidRPr="0044340B" w:rsidRDefault="00912997" w:rsidP="00912997">
      <w:pPr>
        <w:pStyle w:val="Level2"/>
      </w:pPr>
      <w:r w:rsidRPr="0044340B">
        <w:t xml:space="preserve">Reporting of Zero </w:t>
      </w:r>
      <w:r>
        <w:t xml:space="preserve">Non-Cash </w:t>
      </w:r>
      <w:r w:rsidRPr="0044340B">
        <w:t>Collateral</w:t>
      </w:r>
      <w:r>
        <w:t xml:space="preserve"> </w:t>
      </w:r>
    </w:p>
    <w:p w14:paraId="5EB8DE80" w14:textId="3FE67586" w:rsidR="00912997" w:rsidRDefault="00912997" w:rsidP="00AB0A4B">
      <w:pPr>
        <w:pStyle w:val="BodyText"/>
      </w:pPr>
      <w:r w:rsidRPr="00912997">
        <w:t xml:space="preserve">The ESMA validation rules do not support a submission with no non-cash collateral element. In scenarios where a PB needs to report zero non-cash collateral, e.g. for a client holding only physical shorts and cash collateral on day 1 of a new transaction, AFME members intend to report a zero quantity against a single security ISIN. It is recommended to use the </w:t>
      </w:r>
      <w:r w:rsidR="008A0354">
        <w:t xml:space="preserve">ISIN </w:t>
      </w:r>
      <w:r w:rsidR="008A0354">
        <w:rPr>
          <w:rFonts w:ascii="Cambria" w:hAnsi="Cambria"/>
        </w:rPr>
        <w:t>EU000A1G0EB6</w:t>
      </w:r>
      <w:r w:rsidR="008A0354">
        <w:t xml:space="preserve"> for this purpose.</w:t>
      </w:r>
    </w:p>
    <w:p w14:paraId="6279D70E" w14:textId="77777777" w:rsidR="00AB0A4B" w:rsidRDefault="00AB0A4B" w:rsidP="00AB0A4B">
      <w:pPr>
        <w:ind w:left="340"/>
        <w:jc w:val="both"/>
        <w:rPr>
          <w:rFonts w:ascii="Cambria" w:hAnsi="Cambria"/>
        </w:rPr>
      </w:pPr>
    </w:p>
    <w:p w14:paraId="773C23BA" w14:textId="77777777" w:rsidR="00AB0A4B" w:rsidRPr="00B1767B" w:rsidRDefault="00AB0A4B" w:rsidP="00AB0A4B">
      <w:pPr>
        <w:pStyle w:val="Level1"/>
      </w:pPr>
      <w:r w:rsidRPr="00B1767B">
        <w:t xml:space="preserve">Counterparty Table </w:t>
      </w:r>
    </w:p>
    <w:p w14:paraId="59338922" w14:textId="77777777" w:rsidR="00AB0A4B" w:rsidRDefault="00AB0A4B" w:rsidP="00AB0A4B">
      <w:pPr>
        <w:pStyle w:val="ListParagraph"/>
        <w:jc w:val="both"/>
        <w:rPr>
          <w:rFonts w:ascii="Cambria" w:hAnsi="Cambria"/>
          <w:color w:val="FF0000"/>
          <w:u w:val="single"/>
        </w:rPr>
      </w:pPr>
    </w:p>
    <w:p w14:paraId="2920D337" w14:textId="77777777" w:rsidR="00AB0A4B" w:rsidRPr="0086079B" w:rsidRDefault="00AB0A4B" w:rsidP="00AB0A4B">
      <w:pPr>
        <w:pStyle w:val="BodyText"/>
        <w:rPr>
          <w:b/>
          <w:sz w:val="24"/>
          <w:szCs w:val="24"/>
        </w:rPr>
      </w:pPr>
      <w:r w:rsidRPr="000101E3">
        <w:t>Please see Annex B for the full set of AFME P</w:t>
      </w:r>
      <w:r>
        <w:t>rime Services Forum</w:t>
      </w:r>
      <w:r w:rsidRPr="000101E3">
        <w:t xml:space="preserve"> comments on the Counterparty Data Table</w:t>
      </w:r>
      <w:r>
        <w:t>.</w:t>
      </w:r>
    </w:p>
    <w:p w14:paraId="6B53B41A" w14:textId="77777777" w:rsidR="00AB0A4B" w:rsidRDefault="00AB0A4B" w:rsidP="00AB0A4B">
      <w:pPr>
        <w:pStyle w:val="ListParagraph"/>
        <w:ind w:left="0"/>
        <w:jc w:val="both"/>
      </w:pPr>
    </w:p>
    <w:p w14:paraId="05314275" w14:textId="77777777" w:rsidR="00AB0A4B" w:rsidRDefault="00AB0A4B" w:rsidP="00AB0A4B">
      <w:pPr>
        <w:pStyle w:val="Level2"/>
      </w:pPr>
      <w:r w:rsidRPr="00554FAB">
        <w:t>Investment Fund Classification (Field 6)</w:t>
      </w:r>
    </w:p>
    <w:p w14:paraId="4DCF4377" w14:textId="77777777" w:rsidR="00AB0A4B" w:rsidRPr="00AB0A4B" w:rsidRDefault="00AB0A4B" w:rsidP="00AB0A4B">
      <w:pPr>
        <w:pStyle w:val="BodyText"/>
      </w:pPr>
      <w:r w:rsidRPr="00AB0A4B">
        <w:t>To the extent that this field is not relevant or mandatory, it should be left blank.</w:t>
      </w:r>
    </w:p>
    <w:p w14:paraId="235C1894" w14:textId="77777777" w:rsidR="00AB0A4B" w:rsidRPr="00AB0A4B" w:rsidRDefault="00AB0A4B" w:rsidP="00AB0A4B">
      <w:pPr>
        <w:pStyle w:val="BodyText"/>
      </w:pPr>
      <w:r w:rsidRPr="00AB0A4B">
        <w:t>DTCC has stated its understanding that this field is required for AIFs and UCITS funds (i.e., if the reporting counterparty is not an AIF or UCITS fund, it can be left blank)</w:t>
      </w:r>
    </w:p>
    <w:p w14:paraId="1F27B245" w14:textId="77777777" w:rsidR="00AB0A4B" w:rsidRDefault="00AB0A4B" w:rsidP="00AB0A4B">
      <w:pPr>
        <w:pStyle w:val="ListParagraph"/>
        <w:ind w:left="0"/>
        <w:jc w:val="both"/>
        <w:rPr>
          <w:rFonts w:ascii="Cambria" w:hAnsi="Cambria"/>
        </w:rPr>
      </w:pPr>
    </w:p>
    <w:p w14:paraId="50EEC600" w14:textId="77777777" w:rsidR="00AB0A4B" w:rsidRDefault="00AB0A4B" w:rsidP="00AB0A4B">
      <w:pPr>
        <w:pStyle w:val="Level2"/>
      </w:pPr>
      <w:r w:rsidRPr="00554FAB">
        <w:lastRenderedPageBreak/>
        <w:t>Country of the branch of the other counterparty (Field 8)</w:t>
      </w:r>
    </w:p>
    <w:p w14:paraId="732ECC08" w14:textId="77777777" w:rsidR="00AB0A4B" w:rsidRPr="00AB0A4B" w:rsidRDefault="00AB0A4B" w:rsidP="00AB0A4B">
      <w:pPr>
        <w:pStyle w:val="BodyText"/>
      </w:pPr>
      <w:r w:rsidRPr="00AB0A4B">
        <w:t>Generally, this information is not as relevant for PB clients (i.e. funds) as PB counterparties don’t usually work through branches.</w:t>
      </w:r>
    </w:p>
    <w:p w14:paraId="65564D88" w14:textId="77777777" w:rsidR="00AB0A4B" w:rsidRPr="00AB0A4B" w:rsidRDefault="00AB0A4B" w:rsidP="00AB0A4B">
      <w:pPr>
        <w:pStyle w:val="BodyText"/>
      </w:pPr>
      <w:r w:rsidRPr="00AB0A4B">
        <w:t>Report this field as relating to the domicile of the fund (rather than the domicile of the investment manager).</w:t>
      </w:r>
    </w:p>
    <w:p w14:paraId="3AE959B6" w14:textId="77777777" w:rsidR="00AB0A4B" w:rsidRPr="00AB0A4B" w:rsidRDefault="00AB0A4B" w:rsidP="00AB0A4B">
      <w:pPr>
        <w:pStyle w:val="BodyText"/>
      </w:pPr>
      <w:r w:rsidRPr="00AB0A4B">
        <w:t>If the counterparty is not operating out of a branch, either leave this blank, or report the country code or LEI of the parent in Field 12.</w:t>
      </w:r>
    </w:p>
    <w:p w14:paraId="252365E6" w14:textId="46FCBE46" w:rsidR="00AB0A4B" w:rsidRDefault="00AB0A4B" w:rsidP="00AB0A4B">
      <w:pPr>
        <w:pStyle w:val="BodyText"/>
      </w:pPr>
      <w:r w:rsidRPr="00AB0A4B">
        <w:t>If this branch information is otherwise not relevant, leave this field blank.</w:t>
      </w:r>
    </w:p>
    <w:p w14:paraId="691C5986" w14:textId="7FA34F34" w:rsidR="001D49BB" w:rsidRDefault="001D49BB" w:rsidP="00AB0A4B">
      <w:pPr>
        <w:pStyle w:val="BodyText"/>
      </w:pPr>
    </w:p>
    <w:p w14:paraId="372282D0" w14:textId="14EFA197" w:rsidR="001D49BB" w:rsidRPr="00676AE9" w:rsidRDefault="001D49BB" w:rsidP="001D49BB">
      <w:pPr>
        <w:pStyle w:val="Level2"/>
      </w:pPr>
      <w:r w:rsidRPr="00676AE9">
        <w:t>Entity Responsible for the Report (Field 10)</w:t>
      </w:r>
    </w:p>
    <w:p w14:paraId="5A08E6AB" w14:textId="584F04F7" w:rsidR="00AB0A4B" w:rsidRPr="00676AE9" w:rsidRDefault="00AB0A4B" w:rsidP="001D49BB">
      <w:pPr>
        <w:jc w:val="both"/>
        <w:rPr>
          <w:rFonts w:ascii="Cambria" w:hAnsi="Cambria"/>
        </w:rPr>
      </w:pPr>
    </w:p>
    <w:p w14:paraId="695AAB82" w14:textId="67CE5703" w:rsidR="006A7D19" w:rsidRPr="00676AE9" w:rsidRDefault="006A7D19" w:rsidP="006A7D19">
      <w:pPr>
        <w:jc w:val="both"/>
        <w:rPr>
          <w:rFonts w:ascii="Cambria" w:hAnsi="Cambria"/>
        </w:rPr>
      </w:pPr>
      <w:r w:rsidRPr="00676AE9">
        <w:rPr>
          <w:rFonts w:ascii="Cambria" w:hAnsi="Cambria"/>
        </w:rPr>
        <w:t>According to Article 4.3 SFTR, the management company of a fund counterparty to SFTs is responsible for reporting on behalf of that fund. However, as per ESMA guidelines 4.4.3, the reporting obligation remains with the fund where the AIFM is not subject to SFTR</w:t>
      </w:r>
      <w:r w:rsidR="001E0159" w:rsidRPr="00676AE9">
        <w:rPr>
          <w:rFonts w:ascii="Cambria" w:hAnsi="Cambria"/>
        </w:rPr>
        <w:t xml:space="preserve">. </w:t>
      </w:r>
    </w:p>
    <w:p w14:paraId="33D03FF0" w14:textId="77777777" w:rsidR="002817ED" w:rsidRPr="00676AE9" w:rsidRDefault="006A7D19" w:rsidP="006A7D19">
      <w:pPr>
        <w:jc w:val="both"/>
        <w:rPr>
          <w:rFonts w:ascii="Cambria" w:hAnsi="Cambria"/>
        </w:rPr>
      </w:pPr>
      <w:r w:rsidRPr="00676AE9">
        <w:rPr>
          <w:rFonts w:ascii="Cambria" w:hAnsi="Cambria"/>
        </w:rPr>
        <w:t>Therefore</w:t>
      </w:r>
      <w:r w:rsidR="001E0159" w:rsidRPr="00676AE9">
        <w:rPr>
          <w:rFonts w:ascii="Cambria" w:hAnsi="Cambria"/>
        </w:rPr>
        <w:t>,</w:t>
      </w:r>
      <w:r w:rsidRPr="00676AE9">
        <w:rPr>
          <w:rFonts w:ascii="Cambria" w:hAnsi="Cambria"/>
        </w:rPr>
        <w:t xml:space="preserve"> following </w:t>
      </w:r>
      <w:r w:rsidR="002817ED" w:rsidRPr="00676AE9">
        <w:rPr>
          <w:rFonts w:ascii="Cambria" w:hAnsi="Cambria"/>
        </w:rPr>
        <w:t>the UK’s departure from the European Union:</w:t>
      </w:r>
    </w:p>
    <w:p w14:paraId="56728EAA" w14:textId="702AC4E4" w:rsidR="006A7D19" w:rsidRPr="00676AE9" w:rsidRDefault="006A7D19" w:rsidP="006A7D19">
      <w:pPr>
        <w:jc w:val="both"/>
        <w:rPr>
          <w:rFonts w:ascii="Cambria" w:hAnsi="Cambria"/>
        </w:rPr>
      </w:pPr>
      <w:r w:rsidRPr="00676AE9">
        <w:rPr>
          <w:rFonts w:ascii="Cambria" w:hAnsi="Cambria"/>
        </w:rPr>
        <w:t xml:space="preserve"> </w:t>
      </w:r>
    </w:p>
    <w:p w14:paraId="03D7F3F1" w14:textId="57319D3F" w:rsidR="006A7D19" w:rsidRPr="00676AE9" w:rsidRDefault="006A7D19" w:rsidP="006A7D19">
      <w:pPr>
        <w:jc w:val="both"/>
        <w:rPr>
          <w:rFonts w:ascii="Cambria" w:hAnsi="Cambria"/>
        </w:rPr>
      </w:pPr>
      <w:r w:rsidRPr="00676AE9">
        <w:rPr>
          <w:rFonts w:ascii="Cambria" w:hAnsi="Cambria"/>
        </w:rPr>
        <w:t>For UCITS &amp; AIF, if the UCITS/AIF is in the same jurisdiction as their management company/AIFM (</w:t>
      </w:r>
      <w:proofErr w:type="gramStart"/>
      <w:r w:rsidRPr="00676AE9">
        <w:rPr>
          <w:rFonts w:ascii="Cambria" w:hAnsi="Cambria"/>
        </w:rPr>
        <w:t>e.g.</w:t>
      </w:r>
      <w:proofErr w:type="gramEnd"/>
      <w:r w:rsidRPr="00676AE9">
        <w:rPr>
          <w:rFonts w:ascii="Cambria" w:hAnsi="Cambria"/>
        </w:rPr>
        <w:t xml:space="preserve"> both in the UK or both in the EU27), the management company/AIFM is the entity responsible for the report.</w:t>
      </w:r>
    </w:p>
    <w:p w14:paraId="256A6988" w14:textId="77777777" w:rsidR="002817ED" w:rsidRPr="00676AE9" w:rsidRDefault="002817ED" w:rsidP="006A7D19">
      <w:pPr>
        <w:jc w:val="both"/>
        <w:rPr>
          <w:rFonts w:ascii="Cambria" w:hAnsi="Cambria"/>
        </w:rPr>
      </w:pPr>
    </w:p>
    <w:p w14:paraId="2FAC6274" w14:textId="63F0B984" w:rsidR="001D49BB" w:rsidRPr="00676AE9" w:rsidRDefault="006A7D19" w:rsidP="006A7D19">
      <w:pPr>
        <w:jc w:val="both"/>
        <w:rPr>
          <w:rFonts w:ascii="Cambria" w:hAnsi="Cambria"/>
        </w:rPr>
      </w:pPr>
      <w:r w:rsidRPr="00676AE9">
        <w:rPr>
          <w:rFonts w:ascii="Cambria" w:hAnsi="Cambria"/>
        </w:rPr>
        <w:t>For UCITS &amp; AIF, if the UCITS/AIF is not in the same jurisdiction as their management company/AIFM (</w:t>
      </w:r>
      <w:proofErr w:type="gramStart"/>
      <w:r w:rsidRPr="00676AE9">
        <w:rPr>
          <w:rFonts w:ascii="Cambria" w:hAnsi="Cambria"/>
        </w:rPr>
        <w:t>e.g.</w:t>
      </w:r>
      <w:proofErr w:type="gramEnd"/>
      <w:r w:rsidRPr="00676AE9">
        <w:rPr>
          <w:rFonts w:ascii="Cambria" w:hAnsi="Cambria"/>
        </w:rPr>
        <w:t xml:space="preserve"> one in the UK and one in the EU27), the UCITS/AIF is the entity responsible for the report.  </w:t>
      </w:r>
    </w:p>
    <w:p w14:paraId="2509D5F8" w14:textId="05625CD8" w:rsidR="00835276" w:rsidRPr="00676AE9" w:rsidRDefault="00835276" w:rsidP="006A7D19">
      <w:pPr>
        <w:jc w:val="both"/>
        <w:rPr>
          <w:rFonts w:ascii="Cambria" w:hAnsi="Cambria"/>
        </w:rPr>
      </w:pPr>
    </w:p>
    <w:p w14:paraId="29908477" w14:textId="2DA7841B" w:rsidR="00835276" w:rsidRDefault="00835276" w:rsidP="006A7D19">
      <w:pPr>
        <w:jc w:val="both"/>
        <w:rPr>
          <w:rFonts w:ascii="Cambria" w:hAnsi="Cambria"/>
        </w:rPr>
      </w:pPr>
      <w:r w:rsidRPr="00676AE9">
        <w:rPr>
          <w:rFonts w:ascii="Cambria" w:hAnsi="Cambria"/>
        </w:rPr>
        <w:t>Th</w:t>
      </w:r>
      <w:r w:rsidR="00F85FD4" w:rsidRPr="00676AE9">
        <w:rPr>
          <w:rFonts w:ascii="Cambria" w:hAnsi="Cambria"/>
        </w:rPr>
        <w:t>e reporting obligations for different scenarios are summarised below:</w:t>
      </w:r>
    </w:p>
    <w:p w14:paraId="52897835" w14:textId="1DA1BF1E" w:rsidR="004406AB" w:rsidRDefault="004406AB" w:rsidP="006A7D19">
      <w:pPr>
        <w:jc w:val="both"/>
        <w:rPr>
          <w:rFonts w:ascii="Cambria" w:hAnsi="Cambria"/>
        </w:rPr>
      </w:pPr>
    </w:p>
    <w:tbl>
      <w:tblPr>
        <w:tblW w:w="10580" w:type="dxa"/>
        <w:tblCellMar>
          <w:left w:w="0" w:type="dxa"/>
          <w:right w:w="0" w:type="dxa"/>
        </w:tblCellMar>
        <w:tblLook w:val="04A0" w:firstRow="1" w:lastRow="0" w:firstColumn="1" w:lastColumn="0" w:noHBand="0" w:noVBand="1"/>
      </w:tblPr>
      <w:tblGrid>
        <w:gridCol w:w="353"/>
        <w:gridCol w:w="2047"/>
        <w:gridCol w:w="1406"/>
        <w:gridCol w:w="1365"/>
        <w:gridCol w:w="3106"/>
        <w:gridCol w:w="2430"/>
      </w:tblGrid>
      <w:tr w:rsidR="00835276" w:rsidRPr="004406AB" w14:paraId="1093DDC0" w14:textId="77777777" w:rsidTr="00835276">
        <w:trPr>
          <w:trHeight w:val="657"/>
        </w:trPr>
        <w:tc>
          <w:tcPr>
            <w:tcW w:w="353" w:type="dxa"/>
            <w:tcBorders>
              <w:top w:val="single" w:sz="8" w:space="0" w:color="auto"/>
              <w:left w:val="single" w:sz="8" w:space="0" w:color="auto"/>
              <w:bottom w:val="single" w:sz="8" w:space="0" w:color="auto"/>
              <w:right w:val="single" w:sz="8" w:space="0" w:color="auto"/>
            </w:tcBorders>
            <w:shd w:val="clear" w:color="auto" w:fill="C9DAAC" w:themeFill="accent2"/>
            <w:tcMar>
              <w:top w:w="0" w:type="dxa"/>
              <w:left w:w="108" w:type="dxa"/>
              <w:bottom w:w="0" w:type="dxa"/>
              <w:right w:w="108" w:type="dxa"/>
            </w:tcMar>
            <w:vAlign w:val="center"/>
            <w:hideMark/>
          </w:tcPr>
          <w:p w14:paraId="55B2086E" w14:textId="77777777" w:rsidR="004406AB" w:rsidRPr="004406AB" w:rsidRDefault="004406AB" w:rsidP="004406AB">
            <w:pPr>
              <w:jc w:val="both"/>
              <w:rPr>
                <w:rFonts w:ascii="Cambria" w:hAnsi="Cambria"/>
                <w:b/>
                <w:bCs/>
              </w:rPr>
            </w:pPr>
            <w:r w:rsidRPr="004406AB">
              <w:rPr>
                <w:rFonts w:ascii="Cambria" w:hAnsi="Cambria"/>
                <w:b/>
                <w:bCs/>
              </w:rPr>
              <w:t>#</w:t>
            </w:r>
          </w:p>
        </w:tc>
        <w:tc>
          <w:tcPr>
            <w:tcW w:w="2047" w:type="dxa"/>
            <w:tcBorders>
              <w:top w:val="single" w:sz="8" w:space="0" w:color="auto"/>
              <w:left w:val="nil"/>
              <w:bottom w:val="single" w:sz="8" w:space="0" w:color="auto"/>
              <w:right w:val="single" w:sz="8" w:space="0" w:color="auto"/>
            </w:tcBorders>
            <w:shd w:val="clear" w:color="auto" w:fill="C9DAAC" w:themeFill="accent2"/>
            <w:tcMar>
              <w:top w:w="0" w:type="dxa"/>
              <w:left w:w="108" w:type="dxa"/>
              <w:bottom w:w="0" w:type="dxa"/>
              <w:right w:w="108" w:type="dxa"/>
            </w:tcMar>
            <w:vAlign w:val="center"/>
            <w:hideMark/>
          </w:tcPr>
          <w:p w14:paraId="29FA39D5" w14:textId="77777777" w:rsidR="004406AB" w:rsidRPr="004406AB" w:rsidRDefault="004406AB" w:rsidP="00835276">
            <w:pPr>
              <w:rPr>
                <w:rFonts w:ascii="Cambria" w:hAnsi="Cambria"/>
              </w:rPr>
            </w:pPr>
            <w:r w:rsidRPr="004406AB">
              <w:rPr>
                <w:rFonts w:ascii="Cambria" w:hAnsi="Cambria"/>
                <w:b/>
                <w:bCs/>
              </w:rPr>
              <w:t>Jurisdiction of the Fund Manager</w:t>
            </w:r>
            <w:r w:rsidRPr="004406AB">
              <w:rPr>
                <w:rFonts w:ascii="Cambria" w:hAnsi="Cambria"/>
              </w:rPr>
              <w:t xml:space="preserve"> </w:t>
            </w:r>
            <w:r w:rsidRPr="004406AB">
              <w:rPr>
                <w:rFonts w:ascii="Cambria" w:hAnsi="Cambria"/>
              </w:rPr>
              <w:br/>
              <w:t>(AIFM or UCITS Manager *)</w:t>
            </w:r>
          </w:p>
        </w:tc>
        <w:tc>
          <w:tcPr>
            <w:tcW w:w="1279" w:type="dxa"/>
            <w:tcBorders>
              <w:top w:val="single" w:sz="8" w:space="0" w:color="auto"/>
              <w:left w:val="nil"/>
              <w:bottom w:val="single" w:sz="8" w:space="0" w:color="auto"/>
              <w:right w:val="single" w:sz="8" w:space="0" w:color="auto"/>
            </w:tcBorders>
            <w:shd w:val="clear" w:color="auto" w:fill="C9DAAC" w:themeFill="accent2"/>
            <w:tcMar>
              <w:top w:w="0" w:type="dxa"/>
              <w:left w:w="108" w:type="dxa"/>
              <w:bottom w:w="0" w:type="dxa"/>
              <w:right w:w="108" w:type="dxa"/>
            </w:tcMar>
            <w:vAlign w:val="center"/>
            <w:hideMark/>
          </w:tcPr>
          <w:p w14:paraId="7F8959FF" w14:textId="77777777" w:rsidR="004406AB" w:rsidRPr="004406AB" w:rsidRDefault="004406AB" w:rsidP="00835276">
            <w:pPr>
              <w:rPr>
                <w:rFonts w:ascii="Cambria" w:hAnsi="Cambria"/>
              </w:rPr>
            </w:pPr>
            <w:r w:rsidRPr="004406AB">
              <w:rPr>
                <w:rFonts w:ascii="Cambria" w:hAnsi="Cambria"/>
                <w:b/>
                <w:bCs/>
              </w:rPr>
              <w:t xml:space="preserve">Jurisdiction </w:t>
            </w:r>
            <w:r w:rsidRPr="004406AB">
              <w:rPr>
                <w:rFonts w:ascii="Cambria" w:hAnsi="Cambria"/>
                <w:b/>
                <w:bCs/>
              </w:rPr>
              <w:br/>
              <w:t>of the Fund</w:t>
            </w:r>
            <w:r w:rsidRPr="004406AB">
              <w:rPr>
                <w:rFonts w:ascii="Cambria" w:hAnsi="Cambria"/>
              </w:rPr>
              <w:t xml:space="preserve"> </w:t>
            </w:r>
            <w:r w:rsidRPr="004406AB">
              <w:rPr>
                <w:rFonts w:ascii="Cambria" w:hAnsi="Cambria"/>
              </w:rPr>
              <w:br/>
              <w:t>(AIF or UCITS)</w:t>
            </w:r>
          </w:p>
        </w:tc>
        <w:tc>
          <w:tcPr>
            <w:tcW w:w="1365" w:type="dxa"/>
            <w:tcBorders>
              <w:top w:val="single" w:sz="8" w:space="0" w:color="auto"/>
              <w:left w:val="nil"/>
              <w:bottom w:val="single" w:sz="8" w:space="0" w:color="auto"/>
              <w:right w:val="single" w:sz="8" w:space="0" w:color="auto"/>
            </w:tcBorders>
            <w:shd w:val="clear" w:color="auto" w:fill="C9DAAC" w:themeFill="accent2"/>
            <w:tcMar>
              <w:top w:w="0" w:type="dxa"/>
              <w:left w:w="108" w:type="dxa"/>
              <w:bottom w:w="0" w:type="dxa"/>
              <w:right w:w="108" w:type="dxa"/>
            </w:tcMar>
            <w:vAlign w:val="center"/>
            <w:hideMark/>
          </w:tcPr>
          <w:p w14:paraId="534E7FA0" w14:textId="2E055728" w:rsidR="004406AB" w:rsidRPr="004406AB" w:rsidRDefault="004406AB" w:rsidP="00835276">
            <w:pPr>
              <w:rPr>
                <w:rFonts w:ascii="Cambria" w:hAnsi="Cambria"/>
                <w:b/>
                <w:bCs/>
              </w:rPr>
            </w:pPr>
            <w:r w:rsidRPr="004406AB">
              <w:rPr>
                <w:rFonts w:ascii="Cambria" w:hAnsi="Cambria"/>
                <w:b/>
                <w:bCs/>
              </w:rPr>
              <w:t xml:space="preserve">Field 1.10 </w:t>
            </w:r>
            <w:r w:rsidRPr="004406AB">
              <w:rPr>
                <w:rFonts w:ascii="Cambria" w:hAnsi="Cambria"/>
                <w:b/>
                <w:bCs/>
              </w:rPr>
              <w:br/>
              <w:t>(ERR)</w:t>
            </w:r>
          </w:p>
        </w:tc>
        <w:tc>
          <w:tcPr>
            <w:tcW w:w="3106" w:type="dxa"/>
            <w:tcBorders>
              <w:top w:val="single" w:sz="8" w:space="0" w:color="auto"/>
              <w:left w:val="nil"/>
              <w:bottom w:val="single" w:sz="8" w:space="0" w:color="auto"/>
              <w:right w:val="single" w:sz="8" w:space="0" w:color="auto"/>
            </w:tcBorders>
            <w:shd w:val="clear" w:color="auto" w:fill="C9DAAC" w:themeFill="accent2"/>
            <w:tcMar>
              <w:top w:w="0" w:type="dxa"/>
              <w:left w:w="108" w:type="dxa"/>
              <w:bottom w:w="0" w:type="dxa"/>
              <w:right w:w="108" w:type="dxa"/>
            </w:tcMar>
            <w:vAlign w:val="center"/>
            <w:hideMark/>
          </w:tcPr>
          <w:p w14:paraId="0582FDDC" w14:textId="77777777" w:rsidR="004406AB" w:rsidRPr="004406AB" w:rsidRDefault="004406AB" w:rsidP="00835276">
            <w:pPr>
              <w:rPr>
                <w:rFonts w:ascii="Cambria" w:hAnsi="Cambria"/>
                <w:b/>
                <w:bCs/>
              </w:rPr>
            </w:pPr>
            <w:r w:rsidRPr="004406AB">
              <w:rPr>
                <w:rFonts w:ascii="Cambria" w:hAnsi="Cambria"/>
                <w:b/>
                <w:bCs/>
              </w:rPr>
              <w:t>Reporting obligation</w:t>
            </w:r>
          </w:p>
        </w:tc>
        <w:tc>
          <w:tcPr>
            <w:tcW w:w="2430" w:type="dxa"/>
            <w:tcBorders>
              <w:top w:val="single" w:sz="8" w:space="0" w:color="auto"/>
              <w:left w:val="nil"/>
              <w:bottom w:val="single" w:sz="8" w:space="0" w:color="auto"/>
              <w:right w:val="single" w:sz="8" w:space="0" w:color="auto"/>
            </w:tcBorders>
            <w:shd w:val="clear" w:color="auto" w:fill="C9DAAC" w:themeFill="accent2"/>
            <w:tcMar>
              <w:top w:w="0" w:type="dxa"/>
              <w:left w:w="108" w:type="dxa"/>
              <w:bottom w:w="0" w:type="dxa"/>
              <w:right w:w="108" w:type="dxa"/>
            </w:tcMar>
            <w:vAlign w:val="center"/>
            <w:hideMark/>
          </w:tcPr>
          <w:p w14:paraId="0D51A782" w14:textId="77777777" w:rsidR="004406AB" w:rsidRPr="004406AB" w:rsidRDefault="004406AB" w:rsidP="00835276">
            <w:pPr>
              <w:rPr>
                <w:rFonts w:ascii="Cambria" w:hAnsi="Cambria"/>
                <w:b/>
                <w:bCs/>
              </w:rPr>
            </w:pPr>
            <w:r w:rsidRPr="004406AB">
              <w:rPr>
                <w:rFonts w:ascii="Cambria" w:hAnsi="Cambria"/>
                <w:b/>
                <w:bCs/>
              </w:rPr>
              <w:t>Reference</w:t>
            </w:r>
          </w:p>
        </w:tc>
      </w:tr>
      <w:tr w:rsidR="004406AB" w:rsidRPr="004406AB" w14:paraId="598E0F05" w14:textId="77777777" w:rsidTr="00835276">
        <w:trPr>
          <w:trHeight w:val="244"/>
        </w:trPr>
        <w:tc>
          <w:tcPr>
            <w:tcW w:w="3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AED915" w14:textId="77777777" w:rsidR="004406AB" w:rsidRPr="004406AB" w:rsidRDefault="004406AB" w:rsidP="004406AB">
            <w:pPr>
              <w:jc w:val="both"/>
              <w:rPr>
                <w:rFonts w:ascii="Cambria" w:hAnsi="Cambria"/>
              </w:rPr>
            </w:pPr>
            <w:r w:rsidRPr="004406AB">
              <w:rPr>
                <w:rFonts w:ascii="Cambria" w:hAnsi="Cambria"/>
              </w:rPr>
              <w:t>1</w:t>
            </w:r>
          </w:p>
        </w:tc>
        <w:tc>
          <w:tcPr>
            <w:tcW w:w="2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AB54C" w14:textId="77777777" w:rsidR="004406AB" w:rsidRPr="004406AB" w:rsidRDefault="004406AB" w:rsidP="004406AB">
            <w:pPr>
              <w:jc w:val="both"/>
              <w:rPr>
                <w:rFonts w:ascii="Cambria" w:hAnsi="Cambria"/>
              </w:rPr>
            </w:pPr>
            <w:r w:rsidRPr="004406AB">
              <w:rPr>
                <w:rFonts w:ascii="Cambria" w:hAnsi="Cambria"/>
              </w:rPr>
              <w:t>UK</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9A0711" w14:textId="77777777" w:rsidR="004406AB" w:rsidRPr="004406AB" w:rsidRDefault="004406AB" w:rsidP="004406AB">
            <w:pPr>
              <w:jc w:val="both"/>
              <w:rPr>
                <w:rFonts w:ascii="Cambria" w:hAnsi="Cambria"/>
              </w:rPr>
            </w:pPr>
            <w:r w:rsidRPr="004406AB">
              <w:rPr>
                <w:rFonts w:ascii="Cambria" w:hAnsi="Cambria"/>
              </w:rPr>
              <w:t>UK</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0DE493" w14:textId="77777777" w:rsidR="004406AB" w:rsidRPr="004406AB" w:rsidRDefault="004406AB" w:rsidP="004406AB">
            <w:pPr>
              <w:jc w:val="both"/>
              <w:rPr>
                <w:rFonts w:ascii="Cambria" w:hAnsi="Cambria"/>
              </w:rPr>
            </w:pPr>
            <w:r w:rsidRPr="004406AB">
              <w:rPr>
                <w:rFonts w:ascii="Cambria" w:hAnsi="Cambria"/>
              </w:rPr>
              <w:t>Fund Manager</w:t>
            </w:r>
          </w:p>
        </w:tc>
        <w:tc>
          <w:tcPr>
            <w:tcW w:w="31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06CD98" w14:textId="77777777" w:rsidR="004406AB" w:rsidRPr="004406AB" w:rsidRDefault="004406AB" w:rsidP="004406AB">
            <w:pPr>
              <w:jc w:val="both"/>
              <w:rPr>
                <w:rFonts w:ascii="Cambria" w:hAnsi="Cambria"/>
              </w:rPr>
            </w:pPr>
            <w:r w:rsidRPr="004406AB">
              <w:rPr>
                <w:rFonts w:ascii="Cambria" w:hAnsi="Cambria"/>
              </w:rPr>
              <w:t>Fund Manager is responsible for the report on behalf of its fund under UK SFTR</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0A1329" w14:textId="77777777" w:rsidR="004406AB" w:rsidRPr="004406AB" w:rsidRDefault="004406AB" w:rsidP="004406AB">
            <w:pPr>
              <w:jc w:val="both"/>
              <w:rPr>
                <w:rFonts w:ascii="Cambria" w:hAnsi="Cambria"/>
              </w:rPr>
            </w:pPr>
            <w:r w:rsidRPr="004406AB">
              <w:rPr>
                <w:rFonts w:ascii="Cambria" w:hAnsi="Cambria"/>
              </w:rPr>
              <w:t>Article 4(3) SFTR (EU) 2015/2365</w:t>
            </w:r>
          </w:p>
        </w:tc>
      </w:tr>
      <w:tr w:rsidR="004406AB" w:rsidRPr="004406AB" w14:paraId="7B5FBAC3" w14:textId="77777777" w:rsidTr="00835276">
        <w:trPr>
          <w:trHeight w:val="244"/>
        </w:trPr>
        <w:tc>
          <w:tcPr>
            <w:tcW w:w="3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9E307DC" w14:textId="77777777" w:rsidR="004406AB" w:rsidRPr="004406AB" w:rsidRDefault="004406AB" w:rsidP="004406AB">
            <w:pPr>
              <w:jc w:val="both"/>
              <w:rPr>
                <w:rFonts w:ascii="Cambria" w:hAnsi="Cambria"/>
              </w:rPr>
            </w:pPr>
            <w:r w:rsidRPr="004406AB">
              <w:rPr>
                <w:rFonts w:ascii="Cambria" w:hAnsi="Cambria"/>
              </w:rPr>
              <w:t>2</w:t>
            </w:r>
          </w:p>
        </w:tc>
        <w:tc>
          <w:tcPr>
            <w:tcW w:w="2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B162FB" w14:textId="77777777" w:rsidR="004406AB" w:rsidRPr="004406AB" w:rsidRDefault="004406AB" w:rsidP="004406AB">
            <w:pPr>
              <w:jc w:val="both"/>
              <w:rPr>
                <w:rFonts w:ascii="Cambria" w:hAnsi="Cambria"/>
              </w:rPr>
            </w:pPr>
            <w:r w:rsidRPr="004406AB">
              <w:rPr>
                <w:rFonts w:ascii="Cambria" w:hAnsi="Cambria"/>
              </w:rPr>
              <w:t>EU</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2F0BC8" w14:textId="77777777" w:rsidR="004406AB" w:rsidRPr="004406AB" w:rsidRDefault="004406AB" w:rsidP="004406AB">
            <w:pPr>
              <w:jc w:val="both"/>
              <w:rPr>
                <w:rFonts w:ascii="Cambria" w:hAnsi="Cambria"/>
              </w:rPr>
            </w:pPr>
            <w:r w:rsidRPr="004406AB">
              <w:rPr>
                <w:rFonts w:ascii="Cambria" w:hAnsi="Cambria"/>
              </w:rPr>
              <w:t>EU</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E3ADE7" w14:textId="77777777" w:rsidR="004406AB" w:rsidRPr="004406AB" w:rsidRDefault="004406AB" w:rsidP="004406AB">
            <w:pPr>
              <w:jc w:val="both"/>
              <w:rPr>
                <w:rFonts w:ascii="Cambria" w:hAnsi="Cambria"/>
              </w:rPr>
            </w:pPr>
            <w:r w:rsidRPr="004406AB">
              <w:rPr>
                <w:rFonts w:ascii="Cambria" w:hAnsi="Cambria"/>
              </w:rPr>
              <w:t>Fund Manager</w:t>
            </w:r>
          </w:p>
        </w:tc>
        <w:tc>
          <w:tcPr>
            <w:tcW w:w="31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D93643D" w14:textId="77777777" w:rsidR="004406AB" w:rsidRPr="004406AB" w:rsidRDefault="004406AB" w:rsidP="004406AB">
            <w:pPr>
              <w:jc w:val="both"/>
              <w:rPr>
                <w:rFonts w:ascii="Cambria" w:hAnsi="Cambria"/>
              </w:rPr>
            </w:pPr>
            <w:r w:rsidRPr="004406AB">
              <w:rPr>
                <w:rFonts w:ascii="Cambria" w:hAnsi="Cambria"/>
              </w:rPr>
              <w:t>Fund Manager is responsible for the report on behalf of its fund under EU SFTR</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795286" w14:textId="77777777" w:rsidR="004406AB" w:rsidRPr="004406AB" w:rsidRDefault="004406AB" w:rsidP="004406AB">
            <w:pPr>
              <w:jc w:val="both"/>
              <w:rPr>
                <w:rFonts w:ascii="Cambria" w:hAnsi="Cambria"/>
              </w:rPr>
            </w:pPr>
            <w:r w:rsidRPr="004406AB">
              <w:rPr>
                <w:rFonts w:ascii="Cambria" w:hAnsi="Cambria"/>
              </w:rPr>
              <w:t>Article 4(3) SFTR (EU) 2015/2365</w:t>
            </w:r>
          </w:p>
        </w:tc>
      </w:tr>
      <w:tr w:rsidR="004406AB" w:rsidRPr="004406AB" w14:paraId="5E119F02" w14:textId="77777777" w:rsidTr="00835276">
        <w:trPr>
          <w:trHeight w:val="328"/>
        </w:trPr>
        <w:tc>
          <w:tcPr>
            <w:tcW w:w="3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8CD41C" w14:textId="77777777" w:rsidR="004406AB" w:rsidRPr="004406AB" w:rsidRDefault="004406AB" w:rsidP="004406AB">
            <w:pPr>
              <w:jc w:val="both"/>
              <w:rPr>
                <w:rFonts w:ascii="Cambria" w:hAnsi="Cambria"/>
              </w:rPr>
            </w:pPr>
            <w:r w:rsidRPr="004406AB">
              <w:rPr>
                <w:rFonts w:ascii="Cambria" w:hAnsi="Cambria"/>
              </w:rPr>
              <w:t>3</w:t>
            </w:r>
          </w:p>
        </w:tc>
        <w:tc>
          <w:tcPr>
            <w:tcW w:w="2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B20706" w14:textId="77777777" w:rsidR="004406AB" w:rsidRPr="004406AB" w:rsidRDefault="004406AB" w:rsidP="004406AB">
            <w:pPr>
              <w:jc w:val="both"/>
              <w:rPr>
                <w:rFonts w:ascii="Cambria" w:hAnsi="Cambria"/>
              </w:rPr>
            </w:pPr>
            <w:r w:rsidRPr="004406AB">
              <w:rPr>
                <w:rFonts w:ascii="Cambria" w:hAnsi="Cambria"/>
              </w:rPr>
              <w:t>UK</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C42448" w14:textId="77777777" w:rsidR="004406AB" w:rsidRPr="004406AB" w:rsidRDefault="004406AB" w:rsidP="004406AB">
            <w:pPr>
              <w:jc w:val="both"/>
              <w:rPr>
                <w:rFonts w:ascii="Cambria" w:hAnsi="Cambria"/>
              </w:rPr>
            </w:pPr>
            <w:r w:rsidRPr="004406AB">
              <w:rPr>
                <w:rFonts w:ascii="Cambria" w:hAnsi="Cambria"/>
              </w:rPr>
              <w:t>EU</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EB0B359" w14:textId="77777777" w:rsidR="004406AB" w:rsidRPr="004406AB" w:rsidRDefault="004406AB" w:rsidP="004406AB">
            <w:pPr>
              <w:jc w:val="both"/>
              <w:rPr>
                <w:rFonts w:ascii="Cambria" w:hAnsi="Cambria"/>
              </w:rPr>
            </w:pPr>
            <w:r w:rsidRPr="004406AB">
              <w:rPr>
                <w:rFonts w:ascii="Cambria" w:hAnsi="Cambria"/>
              </w:rPr>
              <w:t>Fund</w:t>
            </w:r>
          </w:p>
        </w:tc>
        <w:tc>
          <w:tcPr>
            <w:tcW w:w="31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DD4B55" w14:textId="77777777" w:rsidR="004406AB" w:rsidRPr="004406AB" w:rsidRDefault="004406AB" w:rsidP="004406AB">
            <w:pPr>
              <w:jc w:val="both"/>
              <w:rPr>
                <w:rFonts w:ascii="Cambria" w:hAnsi="Cambria"/>
              </w:rPr>
            </w:pPr>
            <w:r w:rsidRPr="004406AB">
              <w:rPr>
                <w:rFonts w:ascii="Cambria" w:hAnsi="Cambria"/>
              </w:rPr>
              <w:t>EU Fund reports under EU SFTR</w:t>
            </w:r>
          </w:p>
        </w:tc>
        <w:tc>
          <w:tcPr>
            <w:tcW w:w="243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FA1DE" w14:textId="77777777" w:rsidR="004406AB" w:rsidRPr="004406AB" w:rsidRDefault="004406AB" w:rsidP="004406AB">
            <w:pPr>
              <w:jc w:val="both"/>
              <w:rPr>
                <w:rFonts w:ascii="Cambria" w:hAnsi="Cambria"/>
              </w:rPr>
            </w:pPr>
            <w:r w:rsidRPr="004406AB">
              <w:rPr>
                <w:rFonts w:ascii="Cambria" w:hAnsi="Cambria"/>
              </w:rPr>
              <w:t>Guidelines 4.4.3 -61 ESMA70-151-</w:t>
            </w:r>
            <w:proofErr w:type="gramStart"/>
            <w:r w:rsidRPr="004406AB">
              <w:rPr>
                <w:rFonts w:ascii="Cambria" w:hAnsi="Cambria"/>
              </w:rPr>
              <w:t>2838  :</w:t>
            </w:r>
            <w:proofErr w:type="gramEnd"/>
            <w:r w:rsidRPr="004406AB">
              <w:rPr>
                <w:rFonts w:ascii="Cambria" w:hAnsi="Cambria"/>
              </w:rPr>
              <w:t xml:space="preserve"> 'Where the allocation of responsibility under Article 4(3) SFTR is not applicable to the AIFM, i.e. the AIFM is not subject to SFTR, the responsibility to report SFTs to a TR remains with the fund'.</w:t>
            </w:r>
          </w:p>
        </w:tc>
      </w:tr>
      <w:tr w:rsidR="004406AB" w:rsidRPr="004406AB" w14:paraId="0BBE410D" w14:textId="77777777" w:rsidTr="00835276">
        <w:trPr>
          <w:trHeight w:val="244"/>
        </w:trPr>
        <w:tc>
          <w:tcPr>
            <w:tcW w:w="3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50DF600" w14:textId="77777777" w:rsidR="004406AB" w:rsidRPr="004406AB" w:rsidRDefault="004406AB" w:rsidP="004406AB">
            <w:pPr>
              <w:jc w:val="both"/>
              <w:rPr>
                <w:rFonts w:ascii="Cambria" w:hAnsi="Cambria"/>
              </w:rPr>
            </w:pPr>
            <w:r w:rsidRPr="004406AB">
              <w:rPr>
                <w:rFonts w:ascii="Cambria" w:hAnsi="Cambria"/>
              </w:rPr>
              <w:t>4</w:t>
            </w:r>
          </w:p>
        </w:tc>
        <w:tc>
          <w:tcPr>
            <w:tcW w:w="2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3A35BE1" w14:textId="77777777" w:rsidR="004406AB" w:rsidRPr="004406AB" w:rsidRDefault="004406AB" w:rsidP="004406AB">
            <w:pPr>
              <w:jc w:val="both"/>
              <w:rPr>
                <w:rFonts w:ascii="Cambria" w:hAnsi="Cambria"/>
              </w:rPr>
            </w:pPr>
            <w:r w:rsidRPr="004406AB">
              <w:rPr>
                <w:rFonts w:ascii="Cambria" w:hAnsi="Cambria"/>
              </w:rPr>
              <w:t>EU</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D08A693" w14:textId="77777777" w:rsidR="004406AB" w:rsidRPr="004406AB" w:rsidRDefault="004406AB" w:rsidP="004406AB">
            <w:pPr>
              <w:jc w:val="both"/>
              <w:rPr>
                <w:rFonts w:ascii="Cambria" w:hAnsi="Cambria"/>
              </w:rPr>
            </w:pPr>
            <w:r w:rsidRPr="004406AB">
              <w:rPr>
                <w:rFonts w:ascii="Cambria" w:hAnsi="Cambria"/>
              </w:rPr>
              <w:t>UK</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EB1518" w14:textId="77777777" w:rsidR="004406AB" w:rsidRPr="004406AB" w:rsidRDefault="004406AB" w:rsidP="004406AB">
            <w:pPr>
              <w:jc w:val="both"/>
              <w:rPr>
                <w:rFonts w:ascii="Cambria" w:hAnsi="Cambria"/>
              </w:rPr>
            </w:pPr>
            <w:r w:rsidRPr="004406AB">
              <w:rPr>
                <w:rFonts w:ascii="Cambria" w:hAnsi="Cambria"/>
              </w:rPr>
              <w:t>Fund</w:t>
            </w:r>
          </w:p>
        </w:tc>
        <w:tc>
          <w:tcPr>
            <w:tcW w:w="31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94FC55" w14:textId="77777777" w:rsidR="004406AB" w:rsidRPr="004406AB" w:rsidRDefault="004406AB" w:rsidP="004406AB">
            <w:pPr>
              <w:jc w:val="both"/>
              <w:rPr>
                <w:rFonts w:ascii="Cambria" w:hAnsi="Cambria"/>
              </w:rPr>
            </w:pPr>
            <w:r w:rsidRPr="004406AB">
              <w:rPr>
                <w:rFonts w:ascii="Cambria" w:hAnsi="Cambria"/>
              </w:rPr>
              <w:t>UK Fund reports under UK SFTR</w:t>
            </w:r>
          </w:p>
        </w:tc>
        <w:tc>
          <w:tcPr>
            <w:tcW w:w="0" w:type="auto"/>
            <w:vMerge/>
            <w:tcBorders>
              <w:top w:val="nil"/>
              <w:left w:val="nil"/>
              <w:bottom w:val="single" w:sz="8" w:space="0" w:color="auto"/>
              <w:right w:val="single" w:sz="8" w:space="0" w:color="auto"/>
            </w:tcBorders>
            <w:vAlign w:val="center"/>
            <w:hideMark/>
          </w:tcPr>
          <w:p w14:paraId="26A10EB7" w14:textId="77777777" w:rsidR="004406AB" w:rsidRPr="004406AB" w:rsidRDefault="004406AB" w:rsidP="004406AB">
            <w:pPr>
              <w:jc w:val="both"/>
              <w:rPr>
                <w:rFonts w:ascii="Cambria" w:hAnsi="Cambria"/>
              </w:rPr>
            </w:pPr>
          </w:p>
        </w:tc>
      </w:tr>
      <w:tr w:rsidR="004406AB" w:rsidRPr="004406AB" w14:paraId="1FC12E20" w14:textId="77777777" w:rsidTr="00835276">
        <w:trPr>
          <w:trHeight w:val="244"/>
        </w:trPr>
        <w:tc>
          <w:tcPr>
            <w:tcW w:w="3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CD2368A" w14:textId="77777777" w:rsidR="004406AB" w:rsidRPr="004406AB" w:rsidRDefault="004406AB" w:rsidP="004406AB">
            <w:pPr>
              <w:jc w:val="both"/>
              <w:rPr>
                <w:rFonts w:ascii="Cambria" w:hAnsi="Cambria"/>
              </w:rPr>
            </w:pPr>
            <w:r w:rsidRPr="004406AB">
              <w:rPr>
                <w:rFonts w:ascii="Cambria" w:hAnsi="Cambria"/>
              </w:rPr>
              <w:t>5</w:t>
            </w:r>
          </w:p>
        </w:tc>
        <w:tc>
          <w:tcPr>
            <w:tcW w:w="2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83030E" w14:textId="77777777" w:rsidR="004406AB" w:rsidRPr="004406AB" w:rsidRDefault="004406AB" w:rsidP="004406AB">
            <w:pPr>
              <w:jc w:val="both"/>
              <w:rPr>
                <w:rFonts w:ascii="Cambria" w:hAnsi="Cambria"/>
              </w:rPr>
            </w:pPr>
            <w:r w:rsidRPr="004406AB">
              <w:rPr>
                <w:rFonts w:ascii="Cambria" w:hAnsi="Cambria"/>
              </w:rPr>
              <w:t>Outside EU or UK</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8190F66" w14:textId="77777777" w:rsidR="004406AB" w:rsidRPr="004406AB" w:rsidRDefault="004406AB" w:rsidP="004406AB">
            <w:pPr>
              <w:jc w:val="both"/>
              <w:rPr>
                <w:rFonts w:ascii="Cambria" w:hAnsi="Cambria"/>
              </w:rPr>
            </w:pPr>
            <w:r w:rsidRPr="004406AB">
              <w:rPr>
                <w:rFonts w:ascii="Cambria" w:hAnsi="Cambria"/>
              </w:rPr>
              <w:t>EU</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4707154" w14:textId="77777777" w:rsidR="004406AB" w:rsidRPr="004406AB" w:rsidRDefault="004406AB" w:rsidP="004406AB">
            <w:pPr>
              <w:jc w:val="both"/>
              <w:rPr>
                <w:rFonts w:ascii="Cambria" w:hAnsi="Cambria"/>
              </w:rPr>
            </w:pPr>
            <w:r w:rsidRPr="004406AB">
              <w:rPr>
                <w:rFonts w:ascii="Cambria" w:hAnsi="Cambria"/>
              </w:rPr>
              <w:t>Fund</w:t>
            </w:r>
          </w:p>
        </w:tc>
        <w:tc>
          <w:tcPr>
            <w:tcW w:w="31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8B882FA" w14:textId="77777777" w:rsidR="004406AB" w:rsidRPr="004406AB" w:rsidRDefault="004406AB" w:rsidP="004406AB">
            <w:pPr>
              <w:jc w:val="both"/>
              <w:rPr>
                <w:rFonts w:ascii="Cambria" w:hAnsi="Cambria"/>
              </w:rPr>
            </w:pPr>
            <w:r w:rsidRPr="004406AB">
              <w:rPr>
                <w:rFonts w:ascii="Cambria" w:hAnsi="Cambria"/>
              </w:rPr>
              <w:t>EU Fund reports under EU SFTR</w:t>
            </w:r>
          </w:p>
        </w:tc>
        <w:tc>
          <w:tcPr>
            <w:tcW w:w="0" w:type="auto"/>
            <w:vMerge/>
            <w:tcBorders>
              <w:top w:val="nil"/>
              <w:left w:val="nil"/>
              <w:bottom w:val="single" w:sz="8" w:space="0" w:color="auto"/>
              <w:right w:val="single" w:sz="8" w:space="0" w:color="auto"/>
            </w:tcBorders>
            <w:vAlign w:val="center"/>
            <w:hideMark/>
          </w:tcPr>
          <w:p w14:paraId="49857408" w14:textId="77777777" w:rsidR="004406AB" w:rsidRPr="004406AB" w:rsidRDefault="004406AB" w:rsidP="004406AB">
            <w:pPr>
              <w:jc w:val="both"/>
              <w:rPr>
                <w:rFonts w:ascii="Cambria" w:hAnsi="Cambria"/>
              </w:rPr>
            </w:pPr>
          </w:p>
        </w:tc>
      </w:tr>
      <w:tr w:rsidR="004406AB" w:rsidRPr="004406AB" w14:paraId="497BC9F8" w14:textId="77777777" w:rsidTr="00835276">
        <w:trPr>
          <w:trHeight w:val="648"/>
        </w:trPr>
        <w:tc>
          <w:tcPr>
            <w:tcW w:w="35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1134596" w14:textId="77777777" w:rsidR="004406AB" w:rsidRPr="004406AB" w:rsidRDefault="004406AB" w:rsidP="004406AB">
            <w:pPr>
              <w:jc w:val="both"/>
              <w:rPr>
                <w:rFonts w:ascii="Cambria" w:hAnsi="Cambria"/>
              </w:rPr>
            </w:pPr>
            <w:r w:rsidRPr="004406AB">
              <w:rPr>
                <w:rFonts w:ascii="Cambria" w:hAnsi="Cambria"/>
              </w:rPr>
              <w:t>6</w:t>
            </w:r>
          </w:p>
        </w:tc>
        <w:tc>
          <w:tcPr>
            <w:tcW w:w="204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615BAA" w14:textId="77777777" w:rsidR="004406AB" w:rsidRPr="004406AB" w:rsidRDefault="004406AB" w:rsidP="004406AB">
            <w:pPr>
              <w:jc w:val="both"/>
              <w:rPr>
                <w:rFonts w:ascii="Cambria" w:hAnsi="Cambria"/>
              </w:rPr>
            </w:pPr>
            <w:r w:rsidRPr="004406AB">
              <w:rPr>
                <w:rFonts w:ascii="Cambria" w:hAnsi="Cambria"/>
              </w:rPr>
              <w:t>Outside EU or UK</w:t>
            </w:r>
          </w:p>
        </w:tc>
        <w:tc>
          <w:tcPr>
            <w:tcW w:w="1279"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06703D" w14:textId="77777777" w:rsidR="004406AB" w:rsidRPr="004406AB" w:rsidRDefault="004406AB" w:rsidP="004406AB">
            <w:pPr>
              <w:jc w:val="both"/>
              <w:rPr>
                <w:rFonts w:ascii="Cambria" w:hAnsi="Cambria"/>
              </w:rPr>
            </w:pPr>
            <w:r w:rsidRPr="004406AB">
              <w:rPr>
                <w:rFonts w:ascii="Cambria" w:hAnsi="Cambria"/>
              </w:rPr>
              <w:t>UK</w:t>
            </w:r>
          </w:p>
        </w:tc>
        <w:tc>
          <w:tcPr>
            <w:tcW w:w="1365"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F0C81CB" w14:textId="77777777" w:rsidR="004406AB" w:rsidRPr="004406AB" w:rsidRDefault="004406AB" w:rsidP="004406AB">
            <w:pPr>
              <w:jc w:val="both"/>
              <w:rPr>
                <w:rFonts w:ascii="Cambria" w:hAnsi="Cambria"/>
              </w:rPr>
            </w:pPr>
            <w:r w:rsidRPr="004406AB">
              <w:rPr>
                <w:rFonts w:ascii="Cambria" w:hAnsi="Cambria"/>
              </w:rPr>
              <w:t>Fund</w:t>
            </w:r>
          </w:p>
        </w:tc>
        <w:tc>
          <w:tcPr>
            <w:tcW w:w="310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DC13F9" w14:textId="77777777" w:rsidR="004406AB" w:rsidRPr="004406AB" w:rsidRDefault="004406AB" w:rsidP="004406AB">
            <w:pPr>
              <w:jc w:val="both"/>
              <w:rPr>
                <w:rFonts w:ascii="Cambria" w:hAnsi="Cambria"/>
              </w:rPr>
            </w:pPr>
            <w:r w:rsidRPr="004406AB">
              <w:rPr>
                <w:rFonts w:ascii="Cambria" w:hAnsi="Cambria"/>
              </w:rPr>
              <w:t>UK Fund reports under UK SFTR</w:t>
            </w:r>
          </w:p>
        </w:tc>
        <w:tc>
          <w:tcPr>
            <w:tcW w:w="0" w:type="auto"/>
            <w:vMerge/>
            <w:tcBorders>
              <w:top w:val="nil"/>
              <w:left w:val="nil"/>
              <w:bottom w:val="single" w:sz="8" w:space="0" w:color="auto"/>
              <w:right w:val="single" w:sz="8" w:space="0" w:color="auto"/>
            </w:tcBorders>
            <w:vAlign w:val="center"/>
            <w:hideMark/>
          </w:tcPr>
          <w:p w14:paraId="5EF71F62" w14:textId="77777777" w:rsidR="004406AB" w:rsidRPr="004406AB" w:rsidRDefault="004406AB" w:rsidP="004406AB">
            <w:pPr>
              <w:jc w:val="both"/>
              <w:rPr>
                <w:rFonts w:ascii="Cambria" w:hAnsi="Cambria"/>
              </w:rPr>
            </w:pPr>
          </w:p>
        </w:tc>
      </w:tr>
      <w:tr w:rsidR="004406AB" w:rsidRPr="004406AB" w14:paraId="42547439" w14:textId="77777777" w:rsidTr="00835276">
        <w:trPr>
          <w:trHeight w:val="202"/>
        </w:trPr>
        <w:tc>
          <w:tcPr>
            <w:tcW w:w="353" w:type="dxa"/>
            <w:noWrap/>
            <w:tcMar>
              <w:top w:w="0" w:type="dxa"/>
              <w:left w:w="108" w:type="dxa"/>
              <w:bottom w:w="0" w:type="dxa"/>
              <w:right w:w="108" w:type="dxa"/>
            </w:tcMar>
            <w:vAlign w:val="center"/>
            <w:hideMark/>
          </w:tcPr>
          <w:p w14:paraId="2D0000FE" w14:textId="77777777" w:rsidR="004406AB" w:rsidRPr="004406AB" w:rsidRDefault="004406AB" w:rsidP="004406AB">
            <w:pPr>
              <w:jc w:val="both"/>
              <w:rPr>
                <w:rFonts w:ascii="Cambria" w:hAnsi="Cambria"/>
              </w:rPr>
            </w:pPr>
            <w:r w:rsidRPr="004406AB">
              <w:rPr>
                <w:rFonts w:ascii="Cambria" w:hAnsi="Cambria"/>
              </w:rPr>
              <w:t>*</w:t>
            </w:r>
          </w:p>
        </w:tc>
        <w:tc>
          <w:tcPr>
            <w:tcW w:w="3326" w:type="dxa"/>
            <w:gridSpan w:val="2"/>
            <w:noWrap/>
            <w:tcMar>
              <w:top w:w="0" w:type="dxa"/>
              <w:left w:w="108" w:type="dxa"/>
              <w:bottom w:w="0" w:type="dxa"/>
              <w:right w:w="108" w:type="dxa"/>
            </w:tcMar>
            <w:vAlign w:val="center"/>
            <w:hideMark/>
          </w:tcPr>
          <w:p w14:paraId="7432D834" w14:textId="77777777" w:rsidR="004406AB" w:rsidRPr="004406AB" w:rsidRDefault="004406AB" w:rsidP="004406AB">
            <w:pPr>
              <w:jc w:val="both"/>
              <w:rPr>
                <w:rFonts w:ascii="Cambria" w:hAnsi="Cambria"/>
              </w:rPr>
            </w:pPr>
            <w:r w:rsidRPr="004406AB">
              <w:rPr>
                <w:rFonts w:ascii="Cambria" w:hAnsi="Cambria"/>
              </w:rPr>
              <w:t>UCITS manager can only be in the EU</w:t>
            </w:r>
          </w:p>
        </w:tc>
        <w:tc>
          <w:tcPr>
            <w:tcW w:w="1365" w:type="dxa"/>
            <w:noWrap/>
            <w:tcMar>
              <w:top w:w="0" w:type="dxa"/>
              <w:left w:w="108" w:type="dxa"/>
              <w:bottom w:w="0" w:type="dxa"/>
              <w:right w:w="108" w:type="dxa"/>
            </w:tcMar>
            <w:vAlign w:val="center"/>
            <w:hideMark/>
          </w:tcPr>
          <w:p w14:paraId="5D9D2B1D" w14:textId="77777777" w:rsidR="004406AB" w:rsidRPr="004406AB" w:rsidRDefault="004406AB" w:rsidP="004406AB">
            <w:pPr>
              <w:jc w:val="both"/>
              <w:rPr>
                <w:rFonts w:ascii="Cambria" w:hAnsi="Cambria"/>
              </w:rPr>
            </w:pPr>
          </w:p>
        </w:tc>
        <w:tc>
          <w:tcPr>
            <w:tcW w:w="3106" w:type="dxa"/>
            <w:noWrap/>
            <w:tcMar>
              <w:top w:w="0" w:type="dxa"/>
              <w:left w:w="108" w:type="dxa"/>
              <w:bottom w:w="0" w:type="dxa"/>
              <w:right w:w="108" w:type="dxa"/>
            </w:tcMar>
            <w:vAlign w:val="center"/>
            <w:hideMark/>
          </w:tcPr>
          <w:p w14:paraId="718BEAD9" w14:textId="77777777" w:rsidR="004406AB" w:rsidRPr="004406AB" w:rsidRDefault="004406AB" w:rsidP="004406AB">
            <w:pPr>
              <w:jc w:val="both"/>
              <w:rPr>
                <w:rFonts w:ascii="Cambria" w:hAnsi="Cambria"/>
              </w:rPr>
            </w:pPr>
          </w:p>
        </w:tc>
        <w:tc>
          <w:tcPr>
            <w:tcW w:w="2430" w:type="dxa"/>
            <w:noWrap/>
            <w:tcMar>
              <w:top w:w="0" w:type="dxa"/>
              <w:left w:w="108" w:type="dxa"/>
              <w:bottom w:w="0" w:type="dxa"/>
              <w:right w:w="108" w:type="dxa"/>
            </w:tcMar>
            <w:vAlign w:val="center"/>
            <w:hideMark/>
          </w:tcPr>
          <w:p w14:paraId="1FBD7594" w14:textId="77777777" w:rsidR="004406AB" w:rsidRPr="004406AB" w:rsidRDefault="004406AB" w:rsidP="004406AB">
            <w:pPr>
              <w:jc w:val="both"/>
              <w:rPr>
                <w:rFonts w:ascii="Cambria" w:hAnsi="Cambria"/>
              </w:rPr>
            </w:pPr>
          </w:p>
        </w:tc>
      </w:tr>
    </w:tbl>
    <w:p w14:paraId="612D9419" w14:textId="77777777" w:rsidR="004406AB" w:rsidRDefault="004406AB" w:rsidP="006A7D19">
      <w:pPr>
        <w:jc w:val="both"/>
        <w:rPr>
          <w:rFonts w:ascii="Cambria" w:hAnsi="Cambria"/>
        </w:rPr>
      </w:pPr>
    </w:p>
    <w:p w14:paraId="5A056FE0" w14:textId="77777777" w:rsidR="004406AB" w:rsidRDefault="004406AB" w:rsidP="006A7D19">
      <w:pPr>
        <w:jc w:val="both"/>
        <w:rPr>
          <w:rFonts w:ascii="Cambria" w:hAnsi="Cambria"/>
        </w:rPr>
      </w:pPr>
    </w:p>
    <w:p w14:paraId="29F0FA19" w14:textId="1CB7593E" w:rsidR="002817ED" w:rsidRDefault="002817ED" w:rsidP="006A7D19">
      <w:pPr>
        <w:jc w:val="both"/>
        <w:rPr>
          <w:rFonts w:ascii="Cambria" w:hAnsi="Cambria"/>
        </w:rPr>
      </w:pPr>
    </w:p>
    <w:p w14:paraId="22861E37" w14:textId="77777777" w:rsidR="00AB0A4B" w:rsidRPr="00B1767B" w:rsidRDefault="00AB0A4B" w:rsidP="00AB0A4B">
      <w:pPr>
        <w:pStyle w:val="Level1"/>
      </w:pPr>
      <w:r w:rsidRPr="00B1767B">
        <w:t>Reuse Table</w:t>
      </w:r>
    </w:p>
    <w:p w14:paraId="2FAD3642" w14:textId="77777777" w:rsidR="00DB65C4" w:rsidRDefault="00DB65C4" w:rsidP="00AB0A4B">
      <w:pPr>
        <w:pStyle w:val="BodyText"/>
      </w:pPr>
    </w:p>
    <w:p w14:paraId="0E41F3A2" w14:textId="3764C382" w:rsidR="00AB0A4B" w:rsidRDefault="00AB0A4B" w:rsidP="00AB0A4B">
      <w:pPr>
        <w:pStyle w:val="BodyText"/>
      </w:pPr>
      <w:r w:rsidRPr="0086079B">
        <w:t xml:space="preserve">Please see Annex C for the full set of AFME </w:t>
      </w:r>
      <w:r>
        <w:t>Prime Services Forum</w:t>
      </w:r>
      <w:r w:rsidRPr="0086079B">
        <w:t xml:space="preserve"> comments on the Reuse Data Table</w:t>
      </w:r>
      <w:r>
        <w:t>.</w:t>
      </w:r>
    </w:p>
    <w:p w14:paraId="132C448D" w14:textId="77777777" w:rsidR="00AB0A4B" w:rsidRPr="0086079B" w:rsidRDefault="00AB0A4B" w:rsidP="00AB0A4B">
      <w:pPr>
        <w:jc w:val="both"/>
        <w:rPr>
          <w:rFonts w:ascii="Cambria" w:hAnsi="Cambria"/>
        </w:rPr>
      </w:pPr>
    </w:p>
    <w:p w14:paraId="244E9FA1" w14:textId="77777777" w:rsidR="00AB0A4B" w:rsidRPr="004C4C83" w:rsidRDefault="00AB0A4B" w:rsidP="00AB0A4B">
      <w:pPr>
        <w:pStyle w:val="Level2"/>
      </w:pPr>
      <w:r w:rsidRPr="004C4C83">
        <w:t>General points:</w:t>
      </w:r>
    </w:p>
    <w:p w14:paraId="774EA51F" w14:textId="77777777" w:rsidR="00AB0A4B" w:rsidRPr="000340FC" w:rsidRDefault="00AB0A4B" w:rsidP="00AB0A4B">
      <w:pPr>
        <w:pStyle w:val="ListParagraph"/>
        <w:ind w:left="0"/>
        <w:jc w:val="both"/>
        <w:rPr>
          <w:rFonts w:ascii="Cambria" w:hAnsi="Cambria"/>
        </w:rPr>
      </w:pPr>
    </w:p>
    <w:p w14:paraId="1F219AF6" w14:textId="77777777" w:rsidR="00AB0A4B" w:rsidRDefault="00AB0A4B" w:rsidP="00AB0A4B">
      <w:pPr>
        <w:pStyle w:val="Bullets1"/>
      </w:pPr>
      <w:r w:rsidRPr="00135509">
        <w:t xml:space="preserve">There </w:t>
      </w:r>
      <w:r>
        <w:t>wa</w:t>
      </w:r>
      <w:r w:rsidRPr="00135509">
        <w:t xml:space="preserve">s a broad question as to whether the re-use data to be reported should be limited to assets that are being reused for subsequent SFT activity, as opposed to reporting on assets that are reused for SFTs </w:t>
      </w:r>
      <w:r w:rsidRPr="005719A3">
        <w:t>or otherwise</w:t>
      </w:r>
      <w:r w:rsidRPr="0080265C">
        <w:t>.</w:t>
      </w:r>
      <w:r w:rsidRPr="00135509">
        <w:t xml:space="preserve">  </w:t>
      </w:r>
      <w:r>
        <w:t>Members</w:t>
      </w:r>
      <w:r w:rsidRPr="00135509">
        <w:t xml:space="preserve"> intend to report re-use related to subsequent SFT activity</w:t>
      </w:r>
      <w:r>
        <w:t xml:space="preserve"> open</w:t>
      </w:r>
      <w:r w:rsidRPr="00135509">
        <w:t>.</w:t>
      </w:r>
    </w:p>
    <w:p w14:paraId="67429D37" w14:textId="77777777" w:rsidR="00AB0A4B" w:rsidRDefault="00AB0A4B" w:rsidP="00AB0A4B">
      <w:pPr>
        <w:pStyle w:val="Bullets1"/>
        <w:numPr>
          <w:ilvl w:val="0"/>
          <w:numId w:val="0"/>
        </w:numPr>
        <w:ind w:left="284"/>
      </w:pPr>
    </w:p>
    <w:p w14:paraId="01963C9F" w14:textId="77777777" w:rsidR="00AB0A4B" w:rsidRDefault="00AB0A4B" w:rsidP="00AB0A4B">
      <w:pPr>
        <w:pStyle w:val="Bullets1"/>
      </w:pPr>
      <w:r>
        <w:t>I</w:t>
      </w:r>
      <w:r w:rsidRPr="00072D4B">
        <w:t>f a PB has a relationship with a non-financial counterparty, it might be able to report reuse by that non-financial counterparty with respect to transactions to which the PB is a party.</w:t>
      </w:r>
    </w:p>
    <w:p w14:paraId="7BA059FA" w14:textId="77777777" w:rsidR="00AB0A4B" w:rsidRPr="00072D4B" w:rsidRDefault="00AB0A4B" w:rsidP="00AB0A4B">
      <w:pPr>
        <w:pStyle w:val="Bullets1"/>
        <w:numPr>
          <w:ilvl w:val="0"/>
          <w:numId w:val="0"/>
        </w:numPr>
        <w:ind w:left="284"/>
      </w:pPr>
      <w:r>
        <w:br/>
      </w:r>
      <w:r w:rsidRPr="00072D4B">
        <w:t xml:space="preserve">The PB will not, however, be able to report reuse by that non-financial counterparty with respect to transactions to which the PB is not a party.  </w:t>
      </w:r>
    </w:p>
    <w:p w14:paraId="51A8D131" w14:textId="77777777" w:rsidR="00AB0A4B" w:rsidRPr="00072D4B" w:rsidRDefault="00AB0A4B" w:rsidP="00AB0A4B">
      <w:pPr>
        <w:pStyle w:val="Bullets1"/>
        <w:numPr>
          <w:ilvl w:val="0"/>
          <w:numId w:val="0"/>
        </w:numPr>
        <w:ind w:left="284"/>
      </w:pPr>
      <w:r>
        <w:br/>
      </w:r>
      <w:r w:rsidRPr="00072D4B">
        <w:t>In some cases, this would require the non-financial counterparty to provide the PB with additional (potentially highly sensitive) information, and there is no way to guarantee that this information will be forthcoming or otherwise available to the PB.</w:t>
      </w:r>
    </w:p>
    <w:p w14:paraId="546E3677" w14:textId="77777777" w:rsidR="00AB0A4B" w:rsidRDefault="00AB0A4B" w:rsidP="00AB0A4B">
      <w:pPr>
        <w:pStyle w:val="Bullets1"/>
        <w:numPr>
          <w:ilvl w:val="0"/>
          <w:numId w:val="0"/>
        </w:numPr>
        <w:ind w:left="284"/>
      </w:pPr>
      <w:r>
        <w:br/>
        <w:t xml:space="preserve">A </w:t>
      </w:r>
      <w:r w:rsidRPr="00072D4B">
        <w:t xml:space="preserve">small non-financial counterparty has no obligation to provide information to PBs (for example) to enable PBs to report reuse on their behalf and therefore PBs may not be able to report on their behalf.  </w:t>
      </w:r>
    </w:p>
    <w:p w14:paraId="232C6220" w14:textId="77777777" w:rsidR="00AB0A4B" w:rsidRPr="00072D4B" w:rsidRDefault="00AB0A4B" w:rsidP="00AB0A4B">
      <w:pPr>
        <w:ind w:left="403"/>
        <w:jc w:val="both"/>
        <w:rPr>
          <w:rFonts w:ascii="Cambria" w:hAnsi="Cambria"/>
        </w:rPr>
      </w:pPr>
    </w:p>
    <w:p w14:paraId="78BD38DE" w14:textId="77777777" w:rsidR="00AB0A4B" w:rsidRDefault="00AB0A4B" w:rsidP="00AB0A4B">
      <w:pPr>
        <w:pStyle w:val="Level2"/>
      </w:pPr>
      <w:r w:rsidRPr="00135509">
        <w:t>Value of reused collateral (Field 8)</w:t>
      </w:r>
    </w:p>
    <w:p w14:paraId="1EDAD615" w14:textId="77777777" w:rsidR="00AB0A4B" w:rsidRPr="00AB0A4B" w:rsidRDefault="00AB0A4B" w:rsidP="00AB0A4B">
      <w:pPr>
        <w:pStyle w:val="BodyText"/>
      </w:pPr>
      <w:r w:rsidRPr="00AB0A4B">
        <w:t xml:space="preserve">Members consider collateral as “reused” only after it has (pursuant to contractual agreement or other arrangements) been transferred from the PB client account to the PB’s own account.  It is noted that “reused” collateral cannot be exactly and specifically linked to a particular SFT or client.   </w:t>
      </w:r>
    </w:p>
    <w:p w14:paraId="4C539ED2" w14:textId="77777777" w:rsidR="00AB0A4B" w:rsidRPr="00AB0A4B" w:rsidRDefault="00AB0A4B" w:rsidP="00AB0A4B">
      <w:pPr>
        <w:pStyle w:val="BodyText"/>
      </w:pPr>
      <w:r w:rsidRPr="00AB0A4B">
        <w:t>Please see Appendix B for an example of the reuse calculation, assuming that collateral as “reused” only after it has (pursuant to contractual agreement or other arrangements) been transferred from the PB client account to the PB’s own account.</w:t>
      </w:r>
    </w:p>
    <w:p w14:paraId="3F00CB29" w14:textId="77777777" w:rsidR="00AB0A4B" w:rsidRPr="00AB0A4B" w:rsidRDefault="00AB0A4B" w:rsidP="00AB0A4B">
      <w:pPr>
        <w:pStyle w:val="BodyText"/>
      </w:pPr>
      <w:r w:rsidRPr="00AB0A4B">
        <w:t>Please see Appendix C for an example which uses the same data as Appendix B, but which assumes that PB collateral eligible for reuse includes all assets held in the client’s PB account, regardless of whether the PB has full legal rights to re-use the assets.</w:t>
      </w:r>
    </w:p>
    <w:p w14:paraId="1C7EBAD0" w14:textId="77777777" w:rsidR="00AB0A4B" w:rsidRPr="00AB0A4B" w:rsidRDefault="00AB0A4B" w:rsidP="00AB0A4B">
      <w:pPr>
        <w:pStyle w:val="BodyText"/>
      </w:pPr>
      <w:r w:rsidRPr="00AB0A4B">
        <w:t>Note that the reporting in each example is done at ISIN level, and that Appendix C results in a higher number for “Estimated value of collateral reused” than the corresponding number in Appendix B, particularly with respect to “Nike”.</w:t>
      </w:r>
    </w:p>
    <w:p w14:paraId="44D18C03" w14:textId="77777777" w:rsidR="00AB0A4B" w:rsidRPr="00AB0A4B" w:rsidRDefault="00AB0A4B" w:rsidP="00AB0A4B">
      <w:pPr>
        <w:pStyle w:val="BodyText"/>
      </w:pPr>
      <w:r w:rsidRPr="00AB0A4B">
        <w:t>This is true even though the main firm account has not physically taken any delivery of Nike securities from the client’s PB account, and therefore cannot yet “re-use” any of the Nike assets. For this and other reasons, members believe that it would be more accurate and meaningful to report according to the Appendix B calculation.</w:t>
      </w:r>
    </w:p>
    <w:p w14:paraId="35F52FC0" w14:textId="77777777" w:rsidR="00AB0A4B" w:rsidRPr="00AB0A4B" w:rsidRDefault="00AB0A4B" w:rsidP="00AB0A4B">
      <w:pPr>
        <w:pStyle w:val="BodyText"/>
      </w:pPr>
      <w:r w:rsidRPr="00AB0A4B">
        <w:lastRenderedPageBreak/>
        <w:t>In addition, please note that “reused” collateral cannot be exactly and specifically linked to a particular SFT or client. Therefore, since this field appears to be intended to provide the value of collateral that has been reused for a specific SFT, it will generally be left blank, and only the information requested in Field 9 reported.</w:t>
      </w:r>
    </w:p>
    <w:p w14:paraId="1A35985E" w14:textId="77777777" w:rsidR="00AB0A4B" w:rsidRDefault="00AB0A4B" w:rsidP="00AB0A4B">
      <w:pPr>
        <w:pStyle w:val="ListParagraph"/>
        <w:jc w:val="both"/>
        <w:rPr>
          <w:rFonts w:ascii="Cambria" w:hAnsi="Cambria"/>
        </w:rPr>
      </w:pPr>
    </w:p>
    <w:p w14:paraId="152309CB" w14:textId="77777777" w:rsidR="00AB0A4B" w:rsidRDefault="00AB0A4B" w:rsidP="00AB0A4B">
      <w:pPr>
        <w:pStyle w:val="Level2"/>
      </w:pPr>
      <w:r w:rsidRPr="006E3AA4">
        <w:t>Estimated reuse of collateral (Field 9)</w:t>
      </w:r>
    </w:p>
    <w:p w14:paraId="577F69FA" w14:textId="71B099EC" w:rsidR="00AB0A4B" w:rsidRDefault="00AB0A4B" w:rsidP="00DB65C4">
      <w:pPr>
        <w:pStyle w:val="BodyText"/>
      </w:pPr>
      <w:r>
        <w:t>This field should be calcul</w:t>
      </w:r>
      <w:r w:rsidRPr="000340FC">
        <w:t xml:space="preserve">ated, and reported, by taking the amount </w:t>
      </w:r>
      <w:r>
        <w:t xml:space="preserve">that has been transferred from the PB client account to the PB’s own account, </w:t>
      </w:r>
      <w:r w:rsidRPr="000340FC">
        <w:t xml:space="preserve">and applying the applicable </w:t>
      </w:r>
      <w:r>
        <w:t>calculation set forth in the RTS.</w:t>
      </w:r>
    </w:p>
    <w:p w14:paraId="1F0DF782" w14:textId="77777777" w:rsidR="00DB65C4" w:rsidRPr="00DB65C4" w:rsidRDefault="00DB65C4" w:rsidP="00DB65C4">
      <w:pPr>
        <w:pStyle w:val="BodyText"/>
      </w:pPr>
    </w:p>
    <w:p w14:paraId="4E117549" w14:textId="77777777" w:rsidR="00AB0A4B" w:rsidRDefault="00AB0A4B" w:rsidP="00AB0A4B">
      <w:pPr>
        <w:pStyle w:val="Level2"/>
      </w:pPr>
      <w:r w:rsidRPr="006E3AA4">
        <w:t>Funding Sources (Field 1</w:t>
      </w:r>
      <w:r>
        <w:t>5</w:t>
      </w:r>
      <w:r w:rsidRPr="006E3AA4">
        <w:t>)</w:t>
      </w:r>
    </w:p>
    <w:p w14:paraId="0ECD46B7" w14:textId="77777777" w:rsidR="00AB0A4B" w:rsidRDefault="00AB0A4B" w:rsidP="00AB0A4B">
      <w:pPr>
        <w:pStyle w:val="ListParagraph"/>
        <w:ind w:left="0"/>
        <w:jc w:val="both"/>
        <w:rPr>
          <w:rFonts w:ascii="Cambria" w:hAnsi="Cambria"/>
        </w:rPr>
      </w:pPr>
    </w:p>
    <w:p w14:paraId="741EA21C" w14:textId="77777777" w:rsidR="00AB0A4B" w:rsidRPr="00AB0A4B" w:rsidRDefault="00AB0A4B" w:rsidP="00AB0A4B">
      <w:pPr>
        <w:pStyle w:val="BodyText"/>
      </w:pPr>
      <w:r w:rsidRPr="00AB0A4B">
        <w:t xml:space="preserve">It is noted that </w:t>
      </w:r>
      <w:proofErr w:type="gramStart"/>
      <w:r w:rsidRPr="00AB0A4B">
        <w:t>all of</w:t>
      </w:r>
      <w:proofErr w:type="gramEnd"/>
      <w:r w:rsidRPr="00AB0A4B">
        <w:t xml:space="preserve"> the funding sources suggested in the data tables might be used by PBs (and that members cannot attach specific funding sources to specific counterparties or to specific SFTs).  Therefore, with few exceptions, members expect to report </w:t>
      </w:r>
      <w:proofErr w:type="gramStart"/>
      <w:r w:rsidRPr="00AB0A4B">
        <w:t>all of</w:t>
      </w:r>
      <w:proofErr w:type="gramEnd"/>
      <w:r w:rsidRPr="00AB0A4B">
        <w:t xml:space="preserve"> the choices in this field as possible sources of the PB’s funds.</w:t>
      </w:r>
    </w:p>
    <w:p w14:paraId="563DFEE3" w14:textId="77777777" w:rsidR="00AB0A4B" w:rsidRPr="00AB0A4B" w:rsidRDefault="00AB0A4B" w:rsidP="00AB0A4B">
      <w:pPr>
        <w:pStyle w:val="BodyText"/>
      </w:pPr>
      <w:r w:rsidRPr="00AB0A4B">
        <w:t xml:space="preserve">If only one value can be reported, report as “Other” as </w:t>
      </w:r>
      <w:proofErr w:type="gramStart"/>
      <w:r w:rsidRPr="00AB0A4B">
        <w:t>any and all</w:t>
      </w:r>
      <w:proofErr w:type="gramEnd"/>
      <w:r w:rsidRPr="00AB0A4B">
        <w:t xml:space="preserve"> of the potential funding sources could be used for margin lending.</w:t>
      </w:r>
    </w:p>
    <w:p w14:paraId="236827E7" w14:textId="77777777" w:rsidR="00AB0A4B" w:rsidRPr="006E3AA4" w:rsidRDefault="00AB0A4B" w:rsidP="00AB0A4B">
      <w:pPr>
        <w:jc w:val="both"/>
        <w:rPr>
          <w:rFonts w:ascii="Cambria" w:hAnsi="Cambria"/>
        </w:rPr>
      </w:pPr>
    </w:p>
    <w:p w14:paraId="6DCF8FCC" w14:textId="77777777" w:rsidR="00AB0A4B" w:rsidRDefault="00AB0A4B" w:rsidP="00AB0A4B">
      <w:pPr>
        <w:pStyle w:val="Level2"/>
      </w:pPr>
      <w:r w:rsidRPr="006E3AA4">
        <w:t>Market value of funding sources (Field 1</w:t>
      </w:r>
      <w:r>
        <w:t>6</w:t>
      </w:r>
      <w:r w:rsidRPr="006E3AA4">
        <w:t>)</w:t>
      </w:r>
    </w:p>
    <w:p w14:paraId="162BEAEF" w14:textId="77777777" w:rsidR="00AB0A4B" w:rsidRPr="00AB0A4B" w:rsidRDefault="00AB0A4B" w:rsidP="00AB0A4B">
      <w:pPr>
        <w:pStyle w:val="BodyText"/>
      </w:pPr>
      <w:r w:rsidRPr="00AB0A4B">
        <w:t xml:space="preserve">Report the aggregate value of outstanding margin loans </w:t>
      </w:r>
    </w:p>
    <w:p w14:paraId="2DE095F6" w14:textId="77777777" w:rsidR="00AB0A4B" w:rsidRDefault="00AB0A4B" w:rsidP="00AB0A4B">
      <w:pPr>
        <w:pStyle w:val="ListParagraph"/>
        <w:ind w:left="0"/>
        <w:jc w:val="both"/>
        <w:rPr>
          <w:rFonts w:ascii="Cambria" w:hAnsi="Cambria"/>
        </w:rPr>
      </w:pPr>
    </w:p>
    <w:p w14:paraId="1BE5CE9E" w14:textId="77777777" w:rsidR="00AB0A4B" w:rsidRDefault="00AB0A4B" w:rsidP="00AB0A4B">
      <w:pPr>
        <w:pStyle w:val="Level2"/>
      </w:pPr>
      <w:r>
        <w:t>Action Types (Field 18)</w:t>
      </w:r>
    </w:p>
    <w:p w14:paraId="23407D7C" w14:textId="77777777" w:rsidR="00AB0A4B" w:rsidRDefault="00AB0A4B" w:rsidP="00AB0A4B">
      <w:pPr>
        <w:pStyle w:val="Heading1"/>
      </w:pPr>
      <w:r>
        <w:t>New (“NEWT”)</w:t>
      </w:r>
    </w:p>
    <w:p w14:paraId="7C1AC2AE" w14:textId="77777777" w:rsidR="00AB0A4B" w:rsidRPr="00927BF0" w:rsidRDefault="00AB0A4B" w:rsidP="00AB0A4B">
      <w:pPr>
        <w:pStyle w:val="BodyText"/>
      </w:pPr>
      <w:r>
        <w:t>Use</w:t>
      </w:r>
      <w:r w:rsidRPr="00927BF0">
        <w:t xml:space="preserve"> this action type when </w:t>
      </w:r>
      <w:r>
        <w:t>you are reporting a “new reuse balance” [TBC]</w:t>
      </w:r>
    </w:p>
    <w:p w14:paraId="29AB75BD" w14:textId="77777777" w:rsidR="00AB0A4B" w:rsidRDefault="00AB0A4B" w:rsidP="00AB0A4B">
      <w:pPr>
        <w:pStyle w:val="Heading1"/>
      </w:pPr>
      <w:r>
        <w:t>Reuse Update (“REUU”)</w:t>
      </w:r>
    </w:p>
    <w:p w14:paraId="31D0961F" w14:textId="77777777" w:rsidR="00AB0A4B" w:rsidRPr="00AB0A4B" w:rsidRDefault="00AB0A4B" w:rsidP="00AB0A4B">
      <w:pPr>
        <w:pStyle w:val="BodyText"/>
        <w:rPr>
          <w:b/>
        </w:rPr>
      </w:pPr>
      <w:r>
        <w:t xml:space="preserve">Use this action type when reporting a modification of the details of the reuse </w:t>
      </w:r>
      <w:r w:rsidRPr="000340FC">
        <w:rPr>
          <w:b/>
        </w:rPr>
        <w:t xml:space="preserve"> </w:t>
      </w:r>
    </w:p>
    <w:p w14:paraId="2A1C0186" w14:textId="77777777" w:rsidR="00AB0A4B" w:rsidRDefault="00AB0A4B" w:rsidP="00AB0A4B">
      <w:pPr>
        <w:pStyle w:val="Heading1"/>
      </w:pPr>
      <w:r w:rsidRPr="00927BF0">
        <w:t>Error</w:t>
      </w:r>
      <w:r>
        <w:t xml:space="preserve"> (“EROR”)</w:t>
      </w:r>
    </w:p>
    <w:p w14:paraId="0F73387D" w14:textId="77777777" w:rsidR="00AB0A4B" w:rsidRPr="00AB0A4B" w:rsidRDefault="00AB0A4B" w:rsidP="00AB0A4B">
      <w:pPr>
        <w:pStyle w:val="BodyText"/>
      </w:pPr>
      <w:r>
        <w:t>Use this action type when reporting a cancellation of a wrongly submitted entire report</w:t>
      </w:r>
    </w:p>
    <w:p w14:paraId="524ADFD6" w14:textId="77777777" w:rsidR="00AB0A4B" w:rsidRDefault="00AB0A4B" w:rsidP="00AB0A4B">
      <w:pPr>
        <w:pStyle w:val="Heading1"/>
      </w:pPr>
      <w:r>
        <w:t>Correction (“CORR”)</w:t>
      </w:r>
    </w:p>
    <w:p w14:paraId="1D79F913" w14:textId="77777777" w:rsidR="00AB0A4B" w:rsidRDefault="00AB0A4B" w:rsidP="00AB0A4B">
      <w:pPr>
        <w:pStyle w:val="BodyText"/>
      </w:pPr>
      <w:r>
        <w:t>Use this action type to provide a correction of data fields that were submitted incorrectly in a previous report.</w:t>
      </w:r>
      <w:r w:rsidRPr="000340FC">
        <w:t xml:space="preserve">  </w:t>
      </w:r>
    </w:p>
    <w:p w14:paraId="6B5509B1" w14:textId="77777777" w:rsidR="00AB0A4B" w:rsidRDefault="00AB0A4B" w:rsidP="00AB0A4B">
      <w:pPr>
        <w:pStyle w:val="BodyText"/>
        <w:rPr>
          <w:u w:val="single"/>
        </w:rPr>
      </w:pPr>
      <w:r w:rsidRPr="005719A3">
        <w:rPr>
          <w:u w:val="single"/>
        </w:rPr>
        <w:t xml:space="preserve">Please see Annex D for Prime Services use cases/examples </w:t>
      </w:r>
    </w:p>
    <w:p w14:paraId="3861C98E" w14:textId="77777777" w:rsidR="00AB0A4B" w:rsidRDefault="00AB0A4B" w:rsidP="00AB0A4B">
      <w:pPr>
        <w:pStyle w:val="Level1"/>
        <w:numPr>
          <w:ilvl w:val="0"/>
          <w:numId w:val="0"/>
        </w:numPr>
        <w:ind w:left="567"/>
      </w:pPr>
    </w:p>
    <w:p w14:paraId="1A7E28FA" w14:textId="77777777" w:rsidR="00AB0A4B" w:rsidRPr="00AB0A4B" w:rsidRDefault="00AB0A4B" w:rsidP="00AB0A4B">
      <w:pPr>
        <w:pStyle w:val="Level1"/>
      </w:pPr>
      <w:r>
        <w:t>S</w:t>
      </w:r>
      <w:r w:rsidRPr="00AB0A4B">
        <w:t>upporting [Miscellaneous] Documents</w:t>
      </w:r>
    </w:p>
    <w:p w14:paraId="74F6B0DF" w14:textId="77777777" w:rsidR="00AB0A4B" w:rsidRDefault="00AB0A4B" w:rsidP="00AB0A4B">
      <w:pPr>
        <w:pStyle w:val="ListParagraph"/>
        <w:jc w:val="both"/>
        <w:rPr>
          <w:rFonts w:ascii="Cambria" w:hAnsi="Cambria"/>
        </w:rPr>
      </w:pPr>
    </w:p>
    <w:p w14:paraId="36EC41BD" w14:textId="77777777" w:rsidR="00AB0A4B" w:rsidRDefault="00AB0A4B" w:rsidP="00AB0A4B">
      <w:pPr>
        <w:pStyle w:val="BodyText"/>
      </w:pPr>
      <w:r>
        <w:t>Please contact AFME for access</w:t>
      </w:r>
    </w:p>
    <w:p w14:paraId="20A2CAB3" w14:textId="77777777" w:rsidR="00AB0A4B" w:rsidRDefault="00AB0A4B" w:rsidP="00AB0A4B">
      <w:pPr>
        <w:pStyle w:val="ListParagraph"/>
        <w:ind w:left="0"/>
        <w:jc w:val="both"/>
        <w:rPr>
          <w:rFonts w:ascii="Cambria" w:hAnsi="Cambria"/>
        </w:rPr>
      </w:pPr>
    </w:p>
    <w:p w14:paraId="2047031B" w14:textId="77777777" w:rsidR="00AB0A4B" w:rsidRDefault="00AB0A4B" w:rsidP="00AB0A4B">
      <w:pPr>
        <w:pStyle w:val="BodyText"/>
      </w:pPr>
      <w:r>
        <w:t>Annex A – Full SFTR Loan and Collateral Data Table Comments</w:t>
      </w:r>
      <w:r w:rsidRPr="00747B2D">
        <w:t xml:space="preserve"> </w:t>
      </w:r>
    </w:p>
    <w:p w14:paraId="5F4EE09F" w14:textId="77777777" w:rsidR="00AB0A4B" w:rsidRDefault="00AB0A4B" w:rsidP="00AB0A4B">
      <w:pPr>
        <w:pStyle w:val="ListParagraph"/>
        <w:ind w:left="0"/>
        <w:jc w:val="both"/>
      </w:pPr>
    </w:p>
    <w:bookmarkStart w:id="1" w:name="_MON_1633769320"/>
    <w:bookmarkEnd w:id="1"/>
    <w:p w14:paraId="700C2E57" w14:textId="77777777" w:rsidR="00AB0A4B" w:rsidRDefault="00AB0A4B" w:rsidP="00AB0A4B">
      <w:pPr>
        <w:pStyle w:val="ListParagraph"/>
        <w:ind w:left="0"/>
        <w:jc w:val="both"/>
      </w:pPr>
      <w:r>
        <w:object w:dxaOrig="1530" w:dyaOrig="990" w14:anchorId="3CCDB0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8pt" o:ole="">
            <v:imagedata r:id="rId12" o:title=""/>
          </v:shape>
          <o:OLEObject Type="Embed" ProgID="Excel.Sheet.12" ShapeID="_x0000_i1025" DrawAspect="Icon" ObjectID="_1685529909" r:id="rId13"/>
        </w:object>
      </w:r>
    </w:p>
    <w:p w14:paraId="1E5AC61B" w14:textId="77777777" w:rsidR="00AB0A4B" w:rsidRDefault="00AB0A4B" w:rsidP="00AB0A4B">
      <w:pPr>
        <w:pStyle w:val="ListParagraph"/>
        <w:ind w:left="0"/>
        <w:jc w:val="both"/>
      </w:pPr>
    </w:p>
    <w:p w14:paraId="1B6EAF16" w14:textId="77777777" w:rsidR="00AB0A4B" w:rsidRDefault="00AB0A4B" w:rsidP="00AB0A4B">
      <w:pPr>
        <w:pStyle w:val="BodyText"/>
      </w:pPr>
      <w:r>
        <w:t>Annex B – Full SFTR Counterparty Data Table Comments</w:t>
      </w:r>
    </w:p>
    <w:p w14:paraId="003F9817" w14:textId="77777777" w:rsidR="00AB0A4B" w:rsidRDefault="00AB0A4B" w:rsidP="00AB0A4B">
      <w:pPr>
        <w:pStyle w:val="ListParagraph"/>
        <w:ind w:left="0"/>
        <w:jc w:val="both"/>
        <w:rPr>
          <w:rFonts w:ascii="Cambria" w:hAnsi="Cambria"/>
        </w:rPr>
      </w:pPr>
    </w:p>
    <w:bookmarkStart w:id="2" w:name="_MON_1629013360"/>
    <w:bookmarkEnd w:id="2"/>
    <w:p w14:paraId="22BA6D91" w14:textId="77777777" w:rsidR="00AB0A4B" w:rsidRDefault="00AB0A4B" w:rsidP="00AB0A4B">
      <w:pPr>
        <w:pStyle w:val="ListParagraph"/>
        <w:ind w:left="0"/>
        <w:jc w:val="both"/>
        <w:rPr>
          <w:rFonts w:ascii="Cambria" w:hAnsi="Cambria"/>
        </w:rPr>
      </w:pPr>
      <w:r>
        <w:object w:dxaOrig="1530" w:dyaOrig="990" w14:anchorId="3A017329">
          <v:shape id="_x0000_i1026" type="#_x0000_t75" style="width:76.8pt;height:49.8pt" o:ole="">
            <v:imagedata r:id="rId14" o:title=""/>
          </v:shape>
          <o:OLEObject Type="Embed" ProgID="Excel.Sheet.12" ShapeID="_x0000_i1026" DrawAspect="Icon" ObjectID="_1685529910" r:id="rId15"/>
        </w:object>
      </w:r>
    </w:p>
    <w:p w14:paraId="650A2AE4" w14:textId="77777777" w:rsidR="00AB0A4B" w:rsidRDefault="00AB0A4B" w:rsidP="00AB0A4B">
      <w:pPr>
        <w:pStyle w:val="ListParagraph"/>
        <w:ind w:left="0"/>
        <w:jc w:val="both"/>
        <w:rPr>
          <w:rFonts w:ascii="Cambria" w:hAnsi="Cambria"/>
        </w:rPr>
      </w:pPr>
    </w:p>
    <w:p w14:paraId="521C6589" w14:textId="77777777" w:rsidR="00AB0A4B" w:rsidRDefault="00AB0A4B" w:rsidP="00AB0A4B">
      <w:pPr>
        <w:pStyle w:val="BodyText"/>
      </w:pPr>
      <w:r>
        <w:t>Annex C – Full SFTR Reuse Data Table Comments</w:t>
      </w:r>
    </w:p>
    <w:p w14:paraId="26702A83" w14:textId="77777777" w:rsidR="00AB0A4B" w:rsidRDefault="00AB0A4B" w:rsidP="00AB0A4B">
      <w:pPr>
        <w:pStyle w:val="ListParagraph"/>
        <w:ind w:left="0"/>
        <w:jc w:val="both"/>
        <w:rPr>
          <w:rFonts w:ascii="Cambria" w:hAnsi="Cambria"/>
        </w:rPr>
      </w:pPr>
    </w:p>
    <w:p w14:paraId="381BB317" w14:textId="77777777" w:rsidR="00AB0A4B" w:rsidRDefault="00AB0A4B" w:rsidP="00AB0A4B">
      <w:pPr>
        <w:pStyle w:val="ListParagraph"/>
        <w:ind w:left="0"/>
        <w:jc w:val="both"/>
        <w:rPr>
          <w:rFonts w:ascii="Cambria" w:hAnsi="Cambria"/>
        </w:rPr>
      </w:pPr>
      <w:r>
        <w:object w:dxaOrig="1530" w:dyaOrig="990" w14:anchorId="64ABD072">
          <v:shape id="_x0000_i1027" type="#_x0000_t75" style="width:76.8pt;height:49.8pt" o:ole="">
            <v:imagedata r:id="rId16" o:title=""/>
          </v:shape>
          <o:OLEObject Type="Embed" ProgID="Excel.Sheet.12" ShapeID="_x0000_i1027" DrawAspect="Icon" ObjectID="_1685529911" r:id="rId17"/>
        </w:object>
      </w:r>
    </w:p>
    <w:p w14:paraId="19B2487B" w14:textId="77777777" w:rsidR="00AB0A4B" w:rsidRDefault="00AB0A4B" w:rsidP="00AB0A4B">
      <w:pPr>
        <w:pStyle w:val="ListParagraph"/>
        <w:ind w:left="0"/>
        <w:jc w:val="both"/>
        <w:rPr>
          <w:rFonts w:ascii="Cambria" w:hAnsi="Cambria"/>
        </w:rPr>
      </w:pPr>
    </w:p>
    <w:p w14:paraId="67936954" w14:textId="77777777" w:rsidR="00AB0A4B" w:rsidRDefault="00AB0A4B" w:rsidP="00AB0A4B">
      <w:pPr>
        <w:pStyle w:val="ListParagraph"/>
        <w:ind w:left="0"/>
        <w:jc w:val="both"/>
        <w:rPr>
          <w:rFonts w:ascii="Cambria" w:hAnsi="Cambria"/>
        </w:rPr>
      </w:pPr>
    </w:p>
    <w:p w14:paraId="1D3CA2C5" w14:textId="77777777" w:rsidR="00AB0A4B" w:rsidRDefault="00AB0A4B" w:rsidP="00AB0A4B">
      <w:pPr>
        <w:pStyle w:val="ListParagraph"/>
        <w:ind w:left="0"/>
        <w:jc w:val="both"/>
        <w:rPr>
          <w:rFonts w:ascii="Cambria" w:hAnsi="Cambria"/>
        </w:rPr>
      </w:pPr>
    </w:p>
    <w:p w14:paraId="3A3D1E95" w14:textId="77777777" w:rsidR="00AB0A4B" w:rsidRDefault="00AB0A4B" w:rsidP="00AB0A4B">
      <w:pPr>
        <w:pStyle w:val="BodyText"/>
      </w:pPr>
      <w:r>
        <w:t>Annex D – SFTR Margin Lending Clarifications and Use Cases/Examples (below)</w:t>
      </w:r>
    </w:p>
    <w:p w14:paraId="55CB0AC0" w14:textId="77777777" w:rsidR="00AB0A4B" w:rsidRDefault="00AB0A4B" w:rsidP="00AB0A4B">
      <w:pPr>
        <w:pStyle w:val="ListParagraph"/>
        <w:ind w:left="0"/>
        <w:jc w:val="both"/>
        <w:rPr>
          <w:rFonts w:ascii="Cambria" w:hAnsi="Cambria"/>
        </w:rPr>
      </w:pPr>
    </w:p>
    <w:p w14:paraId="696852AC" w14:textId="77777777" w:rsidR="00AB0A4B" w:rsidRDefault="00AB0A4B" w:rsidP="00AB0A4B">
      <w:pPr>
        <w:pStyle w:val="Heading1"/>
      </w:pPr>
      <w:r w:rsidRPr="00B80640">
        <w:t>SFTR Margin Lending Clarifications and Use Cases/Examples</w:t>
      </w:r>
    </w:p>
    <w:p w14:paraId="6238720A" w14:textId="77777777" w:rsidR="00AB0A4B" w:rsidRPr="00CB63A6" w:rsidRDefault="00AB0A4B" w:rsidP="00DB65C4">
      <w:pPr>
        <w:pStyle w:val="Heading2"/>
      </w:pPr>
      <w:r w:rsidRPr="00CB63A6">
        <w:t>Field 69 – Total outstanding Margin Loan</w:t>
      </w:r>
    </w:p>
    <w:tbl>
      <w:tblPr>
        <w:tblStyle w:val="TableGrid"/>
        <w:tblW w:w="0" w:type="auto"/>
        <w:tblInd w:w="-360" w:type="dxa"/>
        <w:tblLook w:val="04A0" w:firstRow="1" w:lastRow="0" w:firstColumn="1" w:lastColumn="0" w:noHBand="0" w:noVBand="1"/>
      </w:tblPr>
      <w:tblGrid>
        <w:gridCol w:w="723"/>
        <w:gridCol w:w="1704"/>
        <w:gridCol w:w="1887"/>
        <w:gridCol w:w="4702"/>
      </w:tblGrid>
      <w:tr w:rsidR="00AB0A4B" w:rsidRPr="00CB63A6" w14:paraId="323D2314" w14:textId="77777777" w:rsidTr="00A205FB">
        <w:trPr>
          <w:trHeight w:val="1160"/>
        </w:trPr>
        <w:tc>
          <w:tcPr>
            <w:tcW w:w="723" w:type="dxa"/>
            <w:hideMark/>
          </w:tcPr>
          <w:p w14:paraId="2A7BD681" w14:textId="77777777" w:rsidR="00AB0A4B" w:rsidRPr="00CB63A6" w:rsidRDefault="00AB0A4B" w:rsidP="00AB0A4B">
            <w:pPr>
              <w:pStyle w:val="BodyText"/>
            </w:pPr>
            <w:r w:rsidRPr="00CB63A6">
              <w:t>69</w:t>
            </w:r>
          </w:p>
        </w:tc>
        <w:tc>
          <w:tcPr>
            <w:tcW w:w="1704" w:type="dxa"/>
            <w:hideMark/>
          </w:tcPr>
          <w:p w14:paraId="6BE0E9C7" w14:textId="77777777" w:rsidR="00AB0A4B" w:rsidRPr="00CB63A6" w:rsidRDefault="00AB0A4B" w:rsidP="00AB0A4B">
            <w:pPr>
              <w:pStyle w:val="BodyText"/>
            </w:pPr>
            <w:r w:rsidRPr="00CB63A6">
              <w:t>Outstanding margin loan</w:t>
            </w:r>
          </w:p>
        </w:tc>
        <w:tc>
          <w:tcPr>
            <w:tcW w:w="1887" w:type="dxa"/>
            <w:hideMark/>
          </w:tcPr>
          <w:p w14:paraId="2E756C1C" w14:textId="77777777" w:rsidR="00AB0A4B" w:rsidRPr="00CB63A6" w:rsidRDefault="00AB0A4B" w:rsidP="00AB0A4B">
            <w:pPr>
              <w:pStyle w:val="BodyText"/>
            </w:pPr>
            <w:r w:rsidRPr="00CB63A6">
              <w:t xml:space="preserve">Total amount of margin loans, in base currency </w:t>
            </w:r>
          </w:p>
        </w:tc>
        <w:tc>
          <w:tcPr>
            <w:tcW w:w="4702" w:type="dxa"/>
            <w:hideMark/>
          </w:tcPr>
          <w:p w14:paraId="69C1288A" w14:textId="77777777" w:rsidR="00AB0A4B" w:rsidRPr="00CB63A6" w:rsidRDefault="00AB0A4B" w:rsidP="00AB0A4B">
            <w:pPr>
              <w:pStyle w:val="BodyText"/>
            </w:pPr>
            <w:r w:rsidRPr="00CB63A6">
              <w:t>Up to 18 numeric characters including up to 5 decimals. The decimal mark is not counted as a numeric character. If populated, it shall be represented with a dot.</w:t>
            </w:r>
          </w:p>
        </w:tc>
      </w:tr>
    </w:tbl>
    <w:p w14:paraId="6E779426" w14:textId="77777777" w:rsidR="00AB0A4B" w:rsidRPr="00213B69" w:rsidRDefault="00AB0A4B" w:rsidP="00AB0A4B">
      <w:pPr>
        <w:pStyle w:val="Bullets1"/>
      </w:pPr>
      <w:r w:rsidRPr="00213B69">
        <w:t>As clarified in paragraph 308 of the draft guidance:</w:t>
      </w:r>
    </w:p>
    <w:p w14:paraId="7C7B667E" w14:textId="77777777" w:rsidR="00AB0A4B" w:rsidRPr="00213B69" w:rsidRDefault="00AB0A4B" w:rsidP="00AB0A4B">
      <w:pPr>
        <w:pStyle w:val="Bullets2"/>
        <w:rPr>
          <w:u w:val="single"/>
        </w:rPr>
      </w:pPr>
      <w:r>
        <w:t>“</w:t>
      </w:r>
      <w:r w:rsidRPr="00213B69">
        <w:t>The overall outstanding margin loan amount (field 2.69) should either be reported as 0 (when the client has an overall cash credit/is long cash) or as a positive value (when the client has an overall cash debit/is short cash in base currency).</w:t>
      </w:r>
      <w:r>
        <w:t>”</w:t>
      </w:r>
    </w:p>
    <w:p w14:paraId="2517F72C" w14:textId="77777777" w:rsidR="00AB0A4B" w:rsidRPr="00CB63A6" w:rsidRDefault="00AB0A4B" w:rsidP="00AB0A4B">
      <w:pPr>
        <w:pStyle w:val="ListParagraph"/>
        <w:ind w:left="360"/>
        <w:jc w:val="both"/>
        <w:rPr>
          <w:sz w:val="20"/>
          <w:u w:val="single"/>
        </w:rPr>
      </w:pPr>
    </w:p>
    <w:p w14:paraId="23720F27" w14:textId="77777777" w:rsidR="00AB0A4B" w:rsidRPr="00CB63A6" w:rsidRDefault="00AB0A4B" w:rsidP="00DB65C4">
      <w:pPr>
        <w:pStyle w:val="Heading2"/>
      </w:pPr>
      <w:r w:rsidRPr="00CB63A6">
        <w:t>Field 33 – Individual Margin Loan constituents by currency</w:t>
      </w:r>
    </w:p>
    <w:tbl>
      <w:tblPr>
        <w:tblStyle w:val="TableGrid"/>
        <w:tblW w:w="0" w:type="auto"/>
        <w:tblInd w:w="-360" w:type="dxa"/>
        <w:tblLook w:val="04A0" w:firstRow="1" w:lastRow="0" w:firstColumn="1" w:lastColumn="0" w:noHBand="0" w:noVBand="1"/>
      </w:tblPr>
      <w:tblGrid>
        <w:gridCol w:w="676"/>
        <w:gridCol w:w="1805"/>
        <w:gridCol w:w="1941"/>
        <w:gridCol w:w="4594"/>
      </w:tblGrid>
      <w:tr w:rsidR="00AB0A4B" w:rsidRPr="00CB63A6" w14:paraId="1334E979" w14:textId="77777777" w:rsidTr="00A205FB">
        <w:trPr>
          <w:trHeight w:val="1227"/>
        </w:trPr>
        <w:tc>
          <w:tcPr>
            <w:tcW w:w="676" w:type="dxa"/>
            <w:noWrap/>
            <w:hideMark/>
          </w:tcPr>
          <w:p w14:paraId="69BC1F89" w14:textId="77777777" w:rsidR="00AB0A4B" w:rsidRPr="00CB63A6" w:rsidRDefault="00AB0A4B" w:rsidP="00AB0A4B">
            <w:pPr>
              <w:pStyle w:val="BodyText"/>
            </w:pPr>
            <w:r w:rsidRPr="00CB63A6">
              <w:t>33</w:t>
            </w:r>
          </w:p>
        </w:tc>
        <w:tc>
          <w:tcPr>
            <w:tcW w:w="1805" w:type="dxa"/>
            <w:hideMark/>
          </w:tcPr>
          <w:p w14:paraId="7112B8D6" w14:textId="77777777" w:rsidR="00AB0A4B" w:rsidRPr="00CB63A6" w:rsidRDefault="00AB0A4B" w:rsidP="00AB0A4B">
            <w:pPr>
              <w:pStyle w:val="BodyText"/>
            </w:pPr>
            <w:r w:rsidRPr="00CB63A6">
              <w:t>Margin lending currency amount</w:t>
            </w:r>
          </w:p>
        </w:tc>
        <w:tc>
          <w:tcPr>
            <w:tcW w:w="1941" w:type="dxa"/>
            <w:hideMark/>
          </w:tcPr>
          <w:p w14:paraId="7649E36C" w14:textId="77777777" w:rsidR="00AB0A4B" w:rsidRPr="00CB63A6" w:rsidRDefault="00AB0A4B" w:rsidP="00AB0A4B">
            <w:pPr>
              <w:pStyle w:val="BodyText"/>
            </w:pPr>
            <w:r w:rsidRPr="00CB63A6">
              <w:t xml:space="preserve">Amount of a margin loan </w:t>
            </w:r>
            <w:proofErr w:type="gramStart"/>
            <w:r w:rsidRPr="00CB63A6">
              <w:t>in a given</w:t>
            </w:r>
            <w:proofErr w:type="gramEnd"/>
            <w:r w:rsidRPr="00CB63A6">
              <w:t xml:space="preserve"> currency </w:t>
            </w:r>
          </w:p>
        </w:tc>
        <w:tc>
          <w:tcPr>
            <w:tcW w:w="4594" w:type="dxa"/>
            <w:hideMark/>
          </w:tcPr>
          <w:p w14:paraId="0BA6A5D7" w14:textId="77777777" w:rsidR="00AB0A4B" w:rsidRPr="00CB63A6" w:rsidRDefault="00AB0A4B" w:rsidP="00AB0A4B">
            <w:pPr>
              <w:pStyle w:val="BodyText"/>
            </w:pPr>
            <w:r w:rsidRPr="00CB63A6">
              <w:t>Up to 18 numeric characters including up to 5 decimals. The decimal mark is not counted as a numeric character. If populated, it shall be represented with a dot.</w:t>
            </w:r>
          </w:p>
        </w:tc>
      </w:tr>
    </w:tbl>
    <w:p w14:paraId="6FED7B8E" w14:textId="77777777" w:rsidR="00AB0A4B" w:rsidRPr="00213B69" w:rsidRDefault="00AB0A4B" w:rsidP="00AB0A4B">
      <w:pPr>
        <w:pStyle w:val="Bullets1"/>
      </w:pPr>
      <w:r w:rsidRPr="00213B69">
        <w:t>As clarified in paragraph 309 of the draft guidance:</w:t>
      </w:r>
    </w:p>
    <w:p w14:paraId="04A9E40F" w14:textId="77777777" w:rsidR="00AB0A4B" w:rsidRPr="00213B69" w:rsidRDefault="00AB0A4B" w:rsidP="00AB0A4B">
      <w:pPr>
        <w:pStyle w:val="Bullets2"/>
      </w:pPr>
      <w:r w:rsidRPr="00213B69">
        <w:lastRenderedPageBreak/>
        <w:t>“In line with the overall margin lending amount, a net client debit in a given currency should be reported as a positive value together with the currency, while a net client credit should be reported as a negative value.”</w:t>
      </w:r>
    </w:p>
    <w:p w14:paraId="049ED577" w14:textId="77777777" w:rsidR="00AB0A4B" w:rsidRPr="00CB63A6" w:rsidRDefault="00AB0A4B" w:rsidP="00AB0A4B">
      <w:pPr>
        <w:jc w:val="both"/>
        <w:rPr>
          <w:sz w:val="20"/>
        </w:rPr>
      </w:pPr>
    </w:p>
    <w:p w14:paraId="5C6FEAAE" w14:textId="77777777" w:rsidR="00AB0A4B" w:rsidRPr="00CB63A6" w:rsidRDefault="00AB0A4B" w:rsidP="00DB65C4">
      <w:pPr>
        <w:pStyle w:val="Heading2"/>
      </w:pPr>
      <w:r w:rsidRPr="00CB63A6">
        <w:t>Field 71 – Short Market Value</w:t>
      </w:r>
      <w:r>
        <w:t xml:space="preserve"> (SMV)</w:t>
      </w:r>
    </w:p>
    <w:tbl>
      <w:tblPr>
        <w:tblStyle w:val="TableGrid"/>
        <w:tblW w:w="0" w:type="auto"/>
        <w:tblInd w:w="-360" w:type="dxa"/>
        <w:tblLook w:val="04A0" w:firstRow="1" w:lastRow="0" w:firstColumn="1" w:lastColumn="0" w:noHBand="0" w:noVBand="1"/>
      </w:tblPr>
      <w:tblGrid>
        <w:gridCol w:w="740"/>
        <w:gridCol w:w="1728"/>
        <w:gridCol w:w="1946"/>
        <w:gridCol w:w="4602"/>
      </w:tblGrid>
      <w:tr w:rsidR="00AB0A4B" w:rsidRPr="00CB63A6" w14:paraId="1BCFA35B" w14:textId="77777777" w:rsidTr="00A205FB">
        <w:trPr>
          <w:trHeight w:val="1133"/>
        </w:trPr>
        <w:tc>
          <w:tcPr>
            <w:tcW w:w="740" w:type="dxa"/>
            <w:hideMark/>
          </w:tcPr>
          <w:p w14:paraId="4C8AF4BE" w14:textId="77777777" w:rsidR="00AB0A4B" w:rsidRPr="00AB0A4B" w:rsidRDefault="00AB0A4B" w:rsidP="00AB0A4B">
            <w:pPr>
              <w:pStyle w:val="BodyText"/>
            </w:pPr>
            <w:r w:rsidRPr="00AB0A4B">
              <w:t>71</w:t>
            </w:r>
          </w:p>
        </w:tc>
        <w:tc>
          <w:tcPr>
            <w:tcW w:w="1728" w:type="dxa"/>
            <w:hideMark/>
          </w:tcPr>
          <w:p w14:paraId="09DC0D92" w14:textId="77777777" w:rsidR="00AB0A4B" w:rsidRPr="00AB0A4B" w:rsidRDefault="00AB0A4B" w:rsidP="00AB0A4B">
            <w:pPr>
              <w:pStyle w:val="BodyText"/>
            </w:pPr>
            <w:r w:rsidRPr="00AB0A4B">
              <w:t>Short market value</w:t>
            </w:r>
          </w:p>
        </w:tc>
        <w:tc>
          <w:tcPr>
            <w:tcW w:w="1946" w:type="dxa"/>
            <w:hideMark/>
          </w:tcPr>
          <w:p w14:paraId="5A0146C5" w14:textId="77777777" w:rsidR="00AB0A4B" w:rsidRPr="00AB0A4B" w:rsidRDefault="00AB0A4B" w:rsidP="00AB0A4B">
            <w:pPr>
              <w:pStyle w:val="BodyText"/>
            </w:pPr>
            <w:r w:rsidRPr="00AB0A4B">
              <w:t>Market value of short position, in base currency.</w:t>
            </w:r>
          </w:p>
        </w:tc>
        <w:tc>
          <w:tcPr>
            <w:tcW w:w="4602" w:type="dxa"/>
            <w:hideMark/>
          </w:tcPr>
          <w:p w14:paraId="7E04DE43" w14:textId="77777777" w:rsidR="00AB0A4B" w:rsidRPr="00AB0A4B" w:rsidRDefault="00AB0A4B" w:rsidP="00AB0A4B">
            <w:pPr>
              <w:pStyle w:val="BodyText"/>
            </w:pPr>
            <w:r w:rsidRPr="00AB0A4B">
              <w:t>Up to 18 numeric characters including up to 5 decimals. The decimal mark is not counted as a numeric character. If populated, it shall be represented with a dot.</w:t>
            </w:r>
          </w:p>
        </w:tc>
      </w:tr>
    </w:tbl>
    <w:p w14:paraId="07BAAD02" w14:textId="77777777" w:rsidR="00AB0A4B" w:rsidRPr="00213B69" w:rsidRDefault="00AB0A4B" w:rsidP="00AB0A4B">
      <w:pPr>
        <w:pStyle w:val="Bullets1"/>
      </w:pPr>
      <w:r w:rsidRPr="00213B69">
        <w:t>As clarified in Table 81 of the draft guidance:</w:t>
      </w:r>
    </w:p>
    <w:p w14:paraId="1F8BDC20" w14:textId="77777777" w:rsidR="00AB0A4B" w:rsidRPr="00CB63A6" w:rsidRDefault="00AB0A4B" w:rsidP="00AB0A4B">
      <w:pPr>
        <w:pStyle w:val="Bullets2"/>
      </w:pPr>
      <w:r w:rsidRPr="00CB63A6">
        <w:t xml:space="preserve">Report </w:t>
      </w:r>
      <w:r>
        <w:t xml:space="preserve">the existence of </w:t>
      </w:r>
      <w:r w:rsidRPr="00CB63A6">
        <w:t xml:space="preserve">SMV as a </w:t>
      </w:r>
      <w:r>
        <w:rPr>
          <w:u w:val="single"/>
        </w:rPr>
        <w:t>posit</w:t>
      </w:r>
      <w:r w:rsidRPr="002102FD">
        <w:rPr>
          <w:u w:val="single"/>
        </w:rPr>
        <w:t>ive number</w:t>
      </w:r>
      <w:r w:rsidRPr="00CB63A6">
        <w:t xml:space="preserve"> (this field would therefore never be </w:t>
      </w:r>
      <w:r>
        <w:t>&lt;</w:t>
      </w:r>
      <w:r w:rsidRPr="00CB63A6">
        <w:t>0)</w:t>
      </w:r>
    </w:p>
    <w:p w14:paraId="53888C85" w14:textId="77777777" w:rsidR="00AB0A4B" w:rsidRPr="00CB63A6" w:rsidRDefault="00AB0A4B" w:rsidP="00AB0A4B">
      <w:pPr>
        <w:jc w:val="both"/>
        <w:rPr>
          <w:sz w:val="20"/>
        </w:rPr>
      </w:pPr>
    </w:p>
    <w:p w14:paraId="38839C70" w14:textId="77777777" w:rsidR="00AB0A4B" w:rsidRPr="00AB0A4B" w:rsidRDefault="00AB0A4B" w:rsidP="00DB65C4">
      <w:pPr>
        <w:pStyle w:val="Heading2"/>
      </w:pPr>
      <w:r w:rsidRPr="00CB63A6">
        <w:t>Reporting of cash balances where SMV exists, but there is no overall Margin Loan</w:t>
      </w:r>
    </w:p>
    <w:p w14:paraId="2C155186" w14:textId="77777777" w:rsidR="00AB0A4B" w:rsidRDefault="00AB0A4B" w:rsidP="00AB0A4B">
      <w:pPr>
        <w:pStyle w:val="Bullets1"/>
      </w:pPr>
      <w:r>
        <w:t>The</w:t>
      </w:r>
      <w:r w:rsidRPr="00CB63A6">
        <w:t xml:space="preserve"> group previously agreed that where a client has an SMV but no </w:t>
      </w:r>
      <w:r>
        <w:t>M</w:t>
      </w:r>
      <w:r w:rsidRPr="00CB63A6">
        <w:t xml:space="preserve">argin </w:t>
      </w:r>
      <w:r>
        <w:t>L</w:t>
      </w:r>
      <w:r w:rsidRPr="00CB63A6">
        <w:t xml:space="preserve">oan, we would still report the SMV and the long collateral that </w:t>
      </w:r>
      <w:r>
        <w:t>supports</w:t>
      </w:r>
      <w:r w:rsidRPr="00CB63A6">
        <w:t xml:space="preserve"> it. </w:t>
      </w:r>
      <w:proofErr w:type="gramStart"/>
      <w:r>
        <w:t>Therefore</w:t>
      </w:r>
      <w:proofErr w:type="gramEnd"/>
      <w:r w:rsidRPr="00CB63A6">
        <w:t xml:space="preserve"> long </w:t>
      </w:r>
      <w:r>
        <w:t xml:space="preserve">client </w:t>
      </w:r>
      <w:r w:rsidRPr="00CB63A6">
        <w:t>PB assets would also be populated in</w:t>
      </w:r>
      <w:r>
        <w:t xml:space="preserve"> the collateral</w:t>
      </w:r>
      <w:r w:rsidRPr="00CB63A6">
        <w:t xml:space="preserve"> fields </w:t>
      </w:r>
      <w:r>
        <w:t>(</w:t>
      </w:r>
      <w:r w:rsidRPr="00CB63A6">
        <w:t>74-94</w:t>
      </w:r>
      <w:r>
        <w:t>)</w:t>
      </w:r>
      <w:r w:rsidRPr="00CB63A6">
        <w:t xml:space="preserve"> as appropriate.</w:t>
      </w:r>
    </w:p>
    <w:p w14:paraId="48E55D8B" w14:textId="77777777" w:rsidR="00AB0A4B" w:rsidRDefault="00AB0A4B" w:rsidP="00AB0A4B">
      <w:pPr>
        <w:pStyle w:val="Bullets1"/>
        <w:numPr>
          <w:ilvl w:val="0"/>
          <w:numId w:val="0"/>
        </w:numPr>
        <w:ind w:left="284"/>
      </w:pPr>
    </w:p>
    <w:p w14:paraId="22426B80" w14:textId="77777777" w:rsidR="00AB0A4B" w:rsidRPr="00213B69" w:rsidRDefault="00AB0A4B" w:rsidP="00AB0A4B">
      <w:pPr>
        <w:pStyle w:val="Bullets1"/>
      </w:pPr>
      <w:r w:rsidRPr="002102FD">
        <w:t>Given that SMV can also be collateralised by (net) long cash balances, the proposal is to report the in-currency long and short cash balances in the margin loan constituent fields (</w:t>
      </w:r>
      <w:r>
        <w:t>24 – 34 as applicable</w:t>
      </w:r>
      <w:r w:rsidRPr="002102FD">
        <w:t>). Note that in th</w:t>
      </w:r>
      <w:r>
        <w:t>is</w:t>
      </w:r>
      <w:r w:rsidRPr="002102FD">
        <w:t xml:space="preserve"> above scenario, field 69 (outstanding net margin loan) would be zero</w:t>
      </w:r>
      <w:r>
        <w:t>.</w:t>
      </w:r>
      <w:r>
        <w:br/>
      </w:r>
    </w:p>
    <w:p w14:paraId="6922C458" w14:textId="77777777" w:rsidR="00AB0A4B" w:rsidRPr="00DB65C4" w:rsidRDefault="00AB0A4B" w:rsidP="00AB0A4B">
      <w:pPr>
        <w:pStyle w:val="Bullets1"/>
        <w:rPr>
          <w:bCs/>
        </w:rPr>
      </w:pPr>
      <w:r w:rsidRPr="00DB65C4">
        <w:rPr>
          <w:bCs/>
        </w:rPr>
        <w:t>Clarified in paragraph 310 of the draft guidance</w:t>
      </w:r>
    </w:p>
    <w:p w14:paraId="75D362AB" w14:textId="77777777" w:rsidR="00AB0A4B" w:rsidRPr="00AB0A4B" w:rsidRDefault="00AB0A4B" w:rsidP="00AB0A4B">
      <w:pPr>
        <w:pStyle w:val="ListParagraph"/>
        <w:spacing w:after="200" w:line="276" w:lineRule="auto"/>
        <w:ind w:left="360"/>
        <w:jc w:val="both"/>
        <w:rPr>
          <w:b/>
          <w:sz w:val="20"/>
        </w:rPr>
      </w:pPr>
    </w:p>
    <w:p w14:paraId="497D403E" w14:textId="0DA173F9" w:rsidR="00AB0A4B" w:rsidRPr="0011177A" w:rsidRDefault="00AB0A4B" w:rsidP="00AB0A4B">
      <w:pPr>
        <w:pStyle w:val="ListParagraph"/>
        <w:jc w:val="both"/>
        <w:rPr>
          <w:rFonts w:ascii="Cambria" w:hAnsi="Cambria"/>
          <w:b/>
        </w:rPr>
      </w:pPr>
    </w:p>
    <w:bookmarkEnd w:id="0"/>
    <w:p w14:paraId="1AB5709A" w14:textId="77777777" w:rsidR="00AB0A4B" w:rsidRDefault="00AB0A4B" w:rsidP="00AB0A4B">
      <w:pPr>
        <w:pStyle w:val="ListParagraph"/>
        <w:jc w:val="both"/>
        <w:rPr>
          <w:rFonts w:ascii="Cambria" w:hAnsi="Cambria"/>
        </w:rPr>
      </w:pPr>
    </w:p>
    <w:p w14:paraId="3DAD7E3D" w14:textId="77777777" w:rsidR="00EA54D0" w:rsidRDefault="00EA54D0">
      <w:pPr>
        <w:spacing w:line="240" w:lineRule="auto"/>
      </w:pPr>
    </w:p>
    <w:p w14:paraId="43D0D023" w14:textId="77777777" w:rsidR="007503C8" w:rsidRPr="008121B5" w:rsidRDefault="007503C8" w:rsidP="008121B5"/>
    <w:sectPr w:rsidR="007503C8" w:rsidRPr="008121B5" w:rsidSect="008B6986">
      <w:headerReference w:type="even" r:id="rId18"/>
      <w:headerReference w:type="default" r:id="rId19"/>
      <w:footerReference w:type="even" r:id="rId20"/>
      <w:footerReference w:type="default" r:id="rId21"/>
      <w:headerReference w:type="first" r:id="rId22"/>
      <w:footerReference w:type="first" r:id="rId23"/>
      <w:pgSz w:w="11906" w:h="16838" w:code="9"/>
      <w:pgMar w:top="226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D795" w14:textId="77777777" w:rsidR="00AB0A4B" w:rsidRDefault="00AB0A4B" w:rsidP="00C42475">
      <w:pPr>
        <w:spacing w:line="240" w:lineRule="auto"/>
      </w:pPr>
      <w:r>
        <w:separator/>
      </w:r>
    </w:p>
  </w:endnote>
  <w:endnote w:type="continuationSeparator" w:id="0">
    <w:p w14:paraId="51C9F41E" w14:textId="77777777" w:rsidR="00AB0A4B" w:rsidRDefault="00AB0A4B" w:rsidP="00C424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6D71" w14:textId="77777777" w:rsidR="003F0576" w:rsidRDefault="003F0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DB4B" w14:textId="77777777" w:rsidR="007B1E9D" w:rsidRPr="00B00C55" w:rsidRDefault="00B00C55" w:rsidP="007B1E9D">
    <w:pPr>
      <w:pStyle w:val="AFMEPagenumber"/>
      <w:rPr>
        <w:noProof/>
      </w:rPr>
    </w:pPr>
    <w:r w:rsidRPr="00D73F02">
      <w:rPr>
        <w:noProof/>
      </w:rPr>
      <w:drawing>
        <wp:anchor distT="0" distB="0" distL="114300" distR="114300" simplePos="0" relativeHeight="251658240" behindDoc="0" locked="0" layoutInCell="1" allowOverlap="1" wp14:anchorId="5658AF0F" wp14:editId="2340B7AE">
          <wp:simplePos x="0" y="0"/>
          <wp:positionH relativeFrom="page">
            <wp:posOffset>6732905</wp:posOffset>
          </wp:positionH>
          <wp:positionV relativeFrom="page">
            <wp:posOffset>10009505</wp:posOffset>
          </wp:positionV>
          <wp:extent cx="101880" cy="14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ME_rgb_slash.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80" cy="144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sidR="00EA54D0">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BB15" w14:textId="77777777" w:rsidR="003F0576" w:rsidRDefault="003F0576" w:rsidP="003F0576">
    <w:pPr>
      <w:pStyle w:val="FooterHeading"/>
      <w:rPr>
        <w:b w:val="0"/>
      </w:rPr>
    </w:pPr>
    <w:r>
      <w:t>Association for Financial Markets in Europe</w:t>
    </w:r>
  </w:p>
  <w:p w14:paraId="367AE1CE" w14:textId="77777777" w:rsidR="003F0576" w:rsidRDefault="003F0576" w:rsidP="003F0576">
    <w:pPr>
      <w:pStyle w:val="FooterOffices"/>
    </w:pPr>
    <w:r>
      <w:rPr>
        <w:rFonts w:asciiTheme="majorHAnsi" w:hAnsiTheme="majorHAnsi" w:cstheme="majorHAnsi"/>
        <w:b/>
        <w:color w:val="808285" w:themeColor="accent5"/>
      </w:rPr>
      <w:t>London Office:</w:t>
    </w:r>
    <w:r>
      <w:rPr>
        <w:rFonts w:asciiTheme="majorHAnsi" w:hAnsiTheme="majorHAnsi" w:cstheme="majorHAnsi"/>
      </w:rPr>
      <w:t xml:space="preserve"> </w:t>
    </w:r>
    <w:r>
      <w:rPr>
        <w:rFonts w:asciiTheme="majorHAnsi" w:hAnsiTheme="majorHAnsi" w:cstheme="majorHAnsi"/>
      </w:rPr>
      <w:tab/>
    </w:r>
    <w:r>
      <w:t>39</w:t>
    </w:r>
    <w:r>
      <w:rPr>
        <w:vertAlign w:val="superscript"/>
      </w:rPr>
      <w:t>th</w:t>
    </w:r>
    <w:r>
      <w:t xml:space="preserve"> Floor, 25 Canada Square, London E14 5LQ, United Kingdom   T: +44 (0)20 3828 2700</w:t>
    </w:r>
  </w:p>
  <w:p w14:paraId="23357920" w14:textId="77777777" w:rsidR="003F0576" w:rsidRDefault="003F0576" w:rsidP="003F0576">
    <w:pPr>
      <w:pStyle w:val="FooterOffices"/>
    </w:pPr>
    <w:r>
      <w:rPr>
        <w:rFonts w:asciiTheme="majorHAnsi" w:hAnsiTheme="majorHAnsi" w:cstheme="majorHAnsi"/>
        <w:b/>
        <w:color w:val="808285" w:themeColor="accent5"/>
      </w:rPr>
      <w:t>Brussels Office:</w:t>
    </w:r>
    <w:r>
      <w:rPr>
        <w:rFonts w:asciiTheme="majorHAnsi" w:hAnsiTheme="majorHAnsi" w:cstheme="majorHAnsi"/>
      </w:rPr>
      <w:t xml:space="preserve"> </w:t>
    </w:r>
    <w:r>
      <w:rPr>
        <w:rFonts w:asciiTheme="majorHAnsi" w:hAnsiTheme="majorHAnsi" w:cstheme="majorHAnsi"/>
      </w:rPr>
      <w:tab/>
    </w:r>
    <w:r>
      <w:t xml:space="preserve">Rue de la Loi 82, 1040 Brussels, Belgium   T: +32 (0)2 788 3971  </w:t>
    </w:r>
    <w:r>
      <w:br/>
    </w:r>
    <w:r>
      <w:rPr>
        <w:rFonts w:asciiTheme="majorHAnsi" w:hAnsiTheme="majorHAnsi" w:cstheme="majorHAnsi"/>
        <w:b/>
        <w:color w:val="808285" w:themeColor="accent5"/>
      </w:rPr>
      <w:t>Frankfurt Office:</w:t>
    </w:r>
    <w:r>
      <w:rPr>
        <w:rFonts w:asciiTheme="majorHAnsi" w:hAnsiTheme="majorHAnsi" w:cstheme="majorHAnsi"/>
      </w:rPr>
      <w:t xml:space="preserve"> </w:t>
    </w:r>
    <w:proofErr w:type="spellStart"/>
    <w:r w:rsidR="00542CB1">
      <w:rPr>
        <w:rFonts w:cstheme="majorHAnsi"/>
      </w:rPr>
      <w:t>Bürohaus</w:t>
    </w:r>
    <w:proofErr w:type="spellEnd"/>
    <w:r w:rsidR="00542CB1">
      <w:rPr>
        <w:rFonts w:cstheme="majorHAnsi"/>
      </w:rPr>
      <w:t xml:space="preserve"> an der Alten </w:t>
    </w:r>
    <w:proofErr w:type="spellStart"/>
    <w:r w:rsidR="00542CB1">
      <w:rPr>
        <w:rFonts w:cstheme="majorHAnsi"/>
      </w:rPr>
      <w:t>Oper</w:t>
    </w:r>
    <w:proofErr w:type="spellEnd"/>
    <w:r w:rsidR="00542CB1">
      <w:rPr>
        <w:rFonts w:cstheme="majorHAnsi"/>
      </w:rPr>
      <w:t xml:space="preserve">, Neue </w:t>
    </w:r>
    <w:proofErr w:type="spellStart"/>
    <w:r w:rsidR="00542CB1">
      <w:rPr>
        <w:rFonts w:cstheme="majorHAnsi"/>
      </w:rPr>
      <w:t>Mainzer</w:t>
    </w:r>
    <w:proofErr w:type="spellEnd"/>
    <w:r w:rsidR="00542CB1">
      <w:rPr>
        <w:rFonts w:cstheme="majorHAnsi"/>
      </w:rPr>
      <w:t xml:space="preserve"> </w:t>
    </w:r>
    <w:proofErr w:type="spellStart"/>
    <w:r w:rsidR="00542CB1">
      <w:rPr>
        <w:rFonts w:cstheme="majorHAnsi"/>
      </w:rPr>
      <w:t>Straße</w:t>
    </w:r>
    <w:proofErr w:type="spellEnd"/>
    <w:r w:rsidR="00542CB1">
      <w:rPr>
        <w:rFonts w:cstheme="majorHAnsi"/>
      </w:rPr>
      <w:t xml:space="preserve"> 75, 60311 Frankfurt am Main, Germany</w:t>
    </w:r>
    <w:r w:rsidR="00542CB1">
      <w:rPr>
        <w:rFonts w:cstheme="majorHAnsi"/>
      </w:rPr>
      <w:br/>
      <w:t xml:space="preserve"> T: +49 (0)69 153 258 967</w:t>
    </w:r>
  </w:p>
  <w:p w14:paraId="55747992" w14:textId="77777777" w:rsidR="00474648" w:rsidRPr="003F0576" w:rsidRDefault="003F0576" w:rsidP="003F0576">
    <w:pPr>
      <w:pStyle w:val="FooterHeading"/>
    </w:pPr>
    <w:r>
      <w:t>www.afme.eu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7BFD8" w14:textId="77777777" w:rsidR="00AB0A4B" w:rsidRPr="00FB1672" w:rsidRDefault="00AB0A4B" w:rsidP="00C42475">
      <w:pPr>
        <w:spacing w:line="240" w:lineRule="auto"/>
        <w:rPr>
          <w:color w:val="78A22F" w:themeColor="accent1"/>
        </w:rPr>
      </w:pPr>
      <w:r w:rsidRPr="00FB1672">
        <w:rPr>
          <w:color w:val="78A22F" w:themeColor="accent1"/>
        </w:rPr>
        <w:separator/>
      </w:r>
    </w:p>
  </w:footnote>
  <w:footnote w:type="continuationSeparator" w:id="0">
    <w:p w14:paraId="5677AF06" w14:textId="77777777" w:rsidR="00AB0A4B" w:rsidRDefault="00AB0A4B" w:rsidP="00C424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50FA" w14:textId="77777777" w:rsidR="003F0576" w:rsidRDefault="003F0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D4247" w14:textId="77777777" w:rsidR="003F0576" w:rsidRDefault="003F0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F696" w14:textId="77777777" w:rsidR="00F93E16" w:rsidRDefault="005F2A53" w:rsidP="00B00C55">
    <w:pPr>
      <w:pStyle w:val="AFMEFullName"/>
    </w:pPr>
    <w:r>
      <w:drawing>
        <wp:anchor distT="0" distB="0" distL="114300" distR="114300" simplePos="0" relativeHeight="251656192" behindDoc="0" locked="0" layoutInCell="1" allowOverlap="1" wp14:anchorId="04D350E7" wp14:editId="39D3545B">
          <wp:simplePos x="0" y="0"/>
          <wp:positionH relativeFrom="margin">
            <wp:posOffset>-635</wp:posOffset>
          </wp:positionH>
          <wp:positionV relativeFrom="page">
            <wp:posOffset>546100</wp:posOffset>
          </wp:positionV>
          <wp:extent cx="1439545" cy="563245"/>
          <wp:effectExtent l="0" t="0" r="8255"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ME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9545" cy="563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00C55" w:rsidRPr="00BA7875">
      <w:t>Association for Financial Markets in Europe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4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121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33E6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369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4252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32D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C6E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94C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72E7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05EC2"/>
    <w:multiLevelType w:val="multilevel"/>
    <w:tmpl w:val="023E8784"/>
    <w:numStyleLink w:val="AFMEBullets"/>
  </w:abstractNum>
  <w:abstractNum w:abstractNumId="11" w15:restartNumberingAfterBreak="0">
    <w:nsid w:val="0C5F4AC6"/>
    <w:multiLevelType w:val="multilevel"/>
    <w:tmpl w:val="1778BEA0"/>
    <w:numStyleLink w:val="AFMENumbering"/>
  </w:abstractNum>
  <w:abstractNum w:abstractNumId="12" w15:restartNumberingAfterBreak="0">
    <w:nsid w:val="0FEE5FAB"/>
    <w:multiLevelType w:val="multilevel"/>
    <w:tmpl w:val="1778BEA0"/>
    <w:numStyleLink w:val="AFMENumbering"/>
  </w:abstractNum>
  <w:abstractNum w:abstractNumId="13" w15:restartNumberingAfterBreak="0">
    <w:nsid w:val="12DA6896"/>
    <w:multiLevelType w:val="multilevel"/>
    <w:tmpl w:val="1778BEA0"/>
    <w:numStyleLink w:val="AFMENumbering"/>
  </w:abstractNum>
  <w:abstractNum w:abstractNumId="14" w15:restartNumberingAfterBreak="0">
    <w:nsid w:val="132C3446"/>
    <w:multiLevelType w:val="multilevel"/>
    <w:tmpl w:val="023E8784"/>
    <w:numStyleLink w:val="AFMEBullets"/>
  </w:abstractNum>
  <w:abstractNum w:abstractNumId="15" w15:restartNumberingAfterBreak="0">
    <w:nsid w:val="16266349"/>
    <w:multiLevelType w:val="multilevel"/>
    <w:tmpl w:val="1778BEA0"/>
    <w:numStyleLink w:val="AFMENumbering"/>
  </w:abstractNum>
  <w:abstractNum w:abstractNumId="16" w15:restartNumberingAfterBreak="0">
    <w:nsid w:val="17693B0A"/>
    <w:multiLevelType w:val="multilevel"/>
    <w:tmpl w:val="1778BEA0"/>
    <w:numStyleLink w:val="AFMENumbering"/>
  </w:abstractNum>
  <w:abstractNum w:abstractNumId="17" w15:restartNumberingAfterBreak="0">
    <w:nsid w:val="17D210B9"/>
    <w:multiLevelType w:val="multilevel"/>
    <w:tmpl w:val="023E8784"/>
    <w:styleLink w:val="AFMEBullets"/>
    <w:lvl w:ilvl="0">
      <w:start w:val="1"/>
      <w:numFmt w:val="bullet"/>
      <w:pStyle w:val="Bullets1"/>
      <w:lvlText w:val=""/>
      <w:lvlJc w:val="left"/>
      <w:pPr>
        <w:tabs>
          <w:tab w:val="num" w:pos="284"/>
        </w:tabs>
        <w:ind w:left="284" w:hanging="284"/>
      </w:pPr>
      <w:rPr>
        <w:rFonts w:ascii="Symbol" w:hAnsi="Symbol" w:hint="default"/>
        <w:color w:val="78A22F" w:themeColor="accent1"/>
      </w:rPr>
    </w:lvl>
    <w:lvl w:ilvl="1">
      <w:start w:val="1"/>
      <w:numFmt w:val="bullet"/>
      <w:pStyle w:val="Bullets2"/>
      <w:lvlText w:val=""/>
      <w:lvlJc w:val="left"/>
      <w:pPr>
        <w:tabs>
          <w:tab w:val="num" w:pos="567"/>
        </w:tabs>
        <w:ind w:left="567" w:hanging="283"/>
      </w:pPr>
      <w:rPr>
        <w:rFonts w:ascii="Symbol" w:hAnsi="Symbol" w:hint="default"/>
        <w:color w:val="58595B" w:themeColor="accent6"/>
      </w:rPr>
    </w:lvl>
    <w:lvl w:ilvl="2">
      <w:start w:val="1"/>
      <w:numFmt w:val="bullet"/>
      <w:pStyle w:val="Bullets3"/>
      <w:lvlText w:val=""/>
      <w:lvlJc w:val="left"/>
      <w:pPr>
        <w:tabs>
          <w:tab w:val="num" w:pos="851"/>
        </w:tabs>
        <w:ind w:left="851" w:hanging="284"/>
      </w:pPr>
      <w:rPr>
        <w:rFonts w:ascii="Symbol" w:hAnsi="Symbol" w:hint="default"/>
        <w:color w:val="C9DAAC" w:themeColor="accent2"/>
      </w:rPr>
    </w:lvl>
    <w:lvl w:ilvl="3">
      <w:start w:val="1"/>
      <w:numFmt w:val="bullet"/>
      <w:lvlText w:val=""/>
      <w:lvlJc w:val="left"/>
      <w:pPr>
        <w:tabs>
          <w:tab w:val="num" w:pos="1134"/>
        </w:tabs>
        <w:ind w:left="1134" w:hanging="283"/>
      </w:pPr>
      <w:rPr>
        <w:rFonts w:ascii="Symbol" w:hAnsi="Symbol" w:hint="default"/>
        <w:color w:val="CFD0D2" w:themeColor="accent3"/>
      </w:rPr>
    </w:lvl>
    <w:lvl w:ilvl="4">
      <w:start w:val="1"/>
      <w:numFmt w:val="bullet"/>
      <w:lvlText w:val=""/>
      <w:lvlJc w:val="left"/>
      <w:pPr>
        <w:tabs>
          <w:tab w:val="num" w:pos="1418"/>
        </w:tabs>
        <w:ind w:left="1418" w:hanging="284"/>
      </w:pPr>
      <w:rPr>
        <w:rFonts w:ascii="Symbol" w:hAnsi="Symbol" w:hint="default"/>
        <w:color w:val="808285" w:themeColor="accent5"/>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B53927"/>
    <w:multiLevelType w:val="multilevel"/>
    <w:tmpl w:val="023E8784"/>
    <w:numStyleLink w:val="AFMEBullets"/>
  </w:abstractNum>
  <w:abstractNum w:abstractNumId="19" w15:restartNumberingAfterBreak="0">
    <w:nsid w:val="1F1A7159"/>
    <w:multiLevelType w:val="multilevel"/>
    <w:tmpl w:val="58ECE7A0"/>
    <w:lvl w:ilvl="0">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4265AF"/>
    <w:multiLevelType w:val="multilevel"/>
    <w:tmpl w:val="023E8784"/>
    <w:numStyleLink w:val="AFMEBullets"/>
  </w:abstractNum>
  <w:abstractNum w:abstractNumId="21" w15:restartNumberingAfterBreak="0">
    <w:nsid w:val="23CC0440"/>
    <w:multiLevelType w:val="hybridMultilevel"/>
    <w:tmpl w:val="FE0EF0E6"/>
    <w:lvl w:ilvl="0" w:tplc="D14ABE8E">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2A163E85"/>
    <w:multiLevelType w:val="multilevel"/>
    <w:tmpl w:val="023E8784"/>
    <w:numStyleLink w:val="AFMEBullets"/>
  </w:abstractNum>
  <w:abstractNum w:abstractNumId="23" w15:restartNumberingAfterBreak="0">
    <w:nsid w:val="2C834DE4"/>
    <w:multiLevelType w:val="hybridMultilevel"/>
    <w:tmpl w:val="8214990C"/>
    <w:lvl w:ilvl="0" w:tplc="0178D520">
      <w:start w:val="1"/>
      <w:numFmt w:val="upperLetter"/>
      <w:lvlText w:val="%1."/>
      <w:lvlJc w:val="left"/>
      <w:pPr>
        <w:ind w:left="1440" w:hanging="360"/>
      </w:pPr>
      <w:rPr>
        <w:rFonts w:hint="default"/>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2E791DF2"/>
    <w:multiLevelType w:val="hybridMultilevel"/>
    <w:tmpl w:val="F1C6D0B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18D227F"/>
    <w:multiLevelType w:val="multilevel"/>
    <w:tmpl w:val="1778BEA0"/>
    <w:styleLink w:val="AFMENumbering"/>
    <w:lvl w:ilvl="0">
      <w:start w:val="1"/>
      <w:numFmt w:val="none"/>
      <w:pStyle w:val="TOCHeading"/>
      <w:suff w:val="nothing"/>
      <w:lvlText w:val=""/>
      <w:lvlJc w:val="left"/>
      <w:pPr>
        <w:ind w:left="0" w:firstLine="0"/>
      </w:pPr>
      <w:rPr>
        <w:rFonts w:hint="default"/>
      </w:rPr>
    </w:lvl>
    <w:lvl w:ilvl="1">
      <w:start w:val="1"/>
      <w:numFmt w:val="decimal"/>
      <w:lvlRestart w:val="0"/>
      <w:pStyle w:val="Level1"/>
      <w:lvlText w:val="%2"/>
      <w:lvlJc w:val="left"/>
      <w:pPr>
        <w:tabs>
          <w:tab w:val="num" w:pos="567"/>
        </w:tabs>
        <w:ind w:left="567" w:hanging="567"/>
      </w:pPr>
      <w:rPr>
        <w:rFonts w:hint="default"/>
      </w:rPr>
    </w:lvl>
    <w:lvl w:ilvl="2">
      <w:start w:val="1"/>
      <w:numFmt w:val="decimal"/>
      <w:pStyle w:val="Level2"/>
      <w:lvlText w:val="%2.%3"/>
      <w:lvlJc w:val="left"/>
      <w:pPr>
        <w:tabs>
          <w:tab w:val="num" w:pos="567"/>
        </w:tabs>
        <w:ind w:left="567" w:hanging="567"/>
      </w:pPr>
      <w:rPr>
        <w:rFonts w:hint="default"/>
      </w:rPr>
    </w:lvl>
    <w:lvl w:ilvl="3">
      <w:start w:val="1"/>
      <w:numFmt w:val="lowerLetter"/>
      <w:pStyle w:val="Level3"/>
      <w:lvlText w:val="%4)"/>
      <w:lvlJc w:val="left"/>
      <w:pPr>
        <w:tabs>
          <w:tab w:val="num" w:pos="567"/>
        </w:tabs>
        <w:ind w:left="567" w:hanging="567"/>
      </w:pPr>
      <w:rPr>
        <w:rFonts w:hint="default"/>
      </w:rPr>
    </w:lvl>
    <w:lvl w:ilvl="4">
      <w:start w:val="1"/>
      <w:numFmt w:val="lowerRoman"/>
      <w:pStyle w:val="Level4"/>
      <w:lvlText w:val="%5."/>
      <w:lvlJc w:val="left"/>
      <w:pPr>
        <w:tabs>
          <w:tab w:val="num" w:pos="567"/>
        </w:tabs>
        <w:ind w:left="567" w:hanging="567"/>
      </w:pPr>
      <w:rPr>
        <w:rFonts w:hint="default"/>
      </w:rPr>
    </w:lvl>
    <w:lvl w:ilvl="5">
      <w:start w:val="1"/>
      <w:numFmt w:val="lowerLetter"/>
      <w:pStyle w:val="Level5"/>
      <w:lvlText w:val="%6."/>
      <w:lvlJc w:val="left"/>
      <w:pPr>
        <w:ind w:left="567"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66C1CEA"/>
    <w:multiLevelType w:val="multilevel"/>
    <w:tmpl w:val="023E8784"/>
    <w:numStyleLink w:val="AFMEBullets"/>
  </w:abstractNum>
  <w:abstractNum w:abstractNumId="27" w15:restartNumberingAfterBreak="0">
    <w:nsid w:val="42FE4009"/>
    <w:multiLevelType w:val="multilevel"/>
    <w:tmpl w:val="1778BEA0"/>
    <w:numStyleLink w:val="AFMENumbering"/>
  </w:abstractNum>
  <w:abstractNum w:abstractNumId="28" w15:restartNumberingAfterBreak="0">
    <w:nsid w:val="44717625"/>
    <w:multiLevelType w:val="multilevel"/>
    <w:tmpl w:val="023E8784"/>
    <w:numStyleLink w:val="AFMEBullets"/>
  </w:abstractNum>
  <w:abstractNum w:abstractNumId="29" w15:restartNumberingAfterBreak="0">
    <w:nsid w:val="49395779"/>
    <w:multiLevelType w:val="multilevel"/>
    <w:tmpl w:val="023E8784"/>
    <w:numStyleLink w:val="AFMEBullets"/>
  </w:abstractNum>
  <w:abstractNum w:abstractNumId="30" w15:restartNumberingAfterBreak="0">
    <w:nsid w:val="49E51675"/>
    <w:multiLevelType w:val="multilevel"/>
    <w:tmpl w:val="1778BEA0"/>
    <w:numStyleLink w:val="AFMENumbering"/>
  </w:abstractNum>
  <w:abstractNum w:abstractNumId="31" w15:restartNumberingAfterBreak="0">
    <w:nsid w:val="52A96848"/>
    <w:multiLevelType w:val="hybridMultilevel"/>
    <w:tmpl w:val="2CAC0F14"/>
    <w:lvl w:ilvl="0" w:tplc="AD9022F8">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B81AB1"/>
    <w:multiLevelType w:val="multilevel"/>
    <w:tmpl w:val="1778BEA0"/>
    <w:numStyleLink w:val="AFMENumbering"/>
  </w:abstractNum>
  <w:abstractNum w:abstractNumId="33" w15:restartNumberingAfterBreak="0">
    <w:nsid w:val="5A716DA1"/>
    <w:multiLevelType w:val="hybridMultilevel"/>
    <w:tmpl w:val="B69AA3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EFC037C8">
      <w:start w:val="1"/>
      <w:numFmt w:val="decimal"/>
      <w:lvlText w:val="%4."/>
      <w:lvlJc w:val="left"/>
      <w:pPr>
        <w:ind w:left="567" w:hanging="567"/>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B60EC4"/>
    <w:multiLevelType w:val="hybridMultilevel"/>
    <w:tmpl w:val="6C86B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8011C1"/>
    <w:multiLevelType w:val="multilevel"/>
    <w:tmpl w:val="1778BEA0"/>
    <w:numStyleLink w:val="AFMENumbering"/>
  </w:abstractNum>
  <w:abstractNum w:abstractNumId="36" w15:restartNumberingAfterBreak="0">
    <w:nsid w:val="632C5647"/>
    <w:multiLevelType w:val="multilevel"/>
    <w:tmpl w:val="023E8784"/>
    <w:numStyleLink w:val="AFMEBullets"/>
  </w:abstractNum>
  <w:abstractNum w:abstractNumId="37" w15:restartNumberingAfterBreak="0">
    <w:nsid w:val="6BC8279C"/>
    <w:multiLevelType w:val="hybridMultilevel"/>
    <w:tmpl w:val="7D022066"/>
    <w:lvl w:ilvl="0" w:tplc="6058960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6C7F1FC3"/>
    <w:multiLevelType w:val="multilevel"/>
    <w:tmpl w:val="1778BEA0"/>
    <w:numStyleLink w:val="AFMENumbering"/>
  </w:abstractNum>
  <w:abstractNum w:abstractNumId="39" w15:restartNumberingAfterBreak="0">
    <w:nsid w:val="6D291B43"/>
    <w:multiLevelType w:val="hybridMultilevel"/>
    <w:tmpl w:val="DC5A2C3E"/>
    <w:lvl w:ilvl="0" w:tplc="77B0142A">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1D96204"/>
    <w:multiLevelType w:val="multilevel"/>
    <w:tmpl w:val="1778BEA0"/>
    <w:numStyleLink w:val="AFMENumbering"/>
  </w:abstractNum>
  <w:abstractNum w:abstractNumId="41" w15:restartNumberingAfterBreak="0">
    <w:nsid w:val="796E4498"/>
    <w:multiLevelType w:val="hybridMultilevel"/>
    <w:tmpl w:val="FEF6AFCC"/>
    <w:lvl w:ilvl="0" w:tplc="BF64EA5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B245A87"/>
    <w:multiLevelType w:val="multilevel"/>
    <w:tmpl w:val="7254854C"/>
    <w:styleLink w:val="Sources"/>
    <w:lvl w:ilvl="0">
      <w:start w:val="1"/>
      <w:numFmt w:val="none"/>
      <w:pStyle w:val="Source"/>
      <w:suff w:val="space"/>
      <w:lvlText w:val="Source:"/>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F3557DF"/>
    <w:multiLevelType w:val="hybridMultilevel"/>
    <w:tmpl w:val="FFB0B2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12"/>
  </w:num>
  <w:num w:numId="4">
    <w:abstractNumId w:val="38"/>
  </w:num>
  <w:num w:numId="5">
    <w:abstractNumId w:val="30"/>
  </w:num>
  <w:num w:numId="6">
    <w:abstractNumId w:val="17"/>
  </w:num>
  <w:num w:numId="7">
    <w:abstractNumId w:val="28"/>
  </w:num>
  <w:num w:numId="8">
    <w:abstractNumId w:val="29"/>
  </w:num>
  <w:num w:numId="9">
    <w:abstractNumId w:val="19"/>
  </w:num>
  <w:num w:numId="10">
    <w:abstractNumId w:val="18"/>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42"/>
  </w:num>
  <w:num w:numId="23">
    <w:abstractNumId w:val="40"/>
  </w:num>
  <w:num w:numId="24">
    <w:abstractNumId w:val="22"/>
  </w:num>
  <w:num w:numId="25">
    <w:abstractNumId w:val="14"/>
  </w:num>
  <w:num w:numId="26">
    <w:abstractNumId w:val="10"/>
  </w:num>
  <w:num w:numId="27">
    <w:abstractNumId w:val="36"/>
  </w:num>
  <w:num w:numId="28">
    <w:abstractNumId w:val="20"/>
  </w:num>
  <w:num w:numId="29">
    <w:abstractNumId w:val="35"/>
  </w:num>
  <w:num w:numId="30">
    <w:abstractNumId w:val="13"/>
  </w:num>
  <w:num w:numId="31">
    <w:abstractNumId w:val="11"/>
  </w:num>
  <w:num w:numId="32">
    <w:abstractNumId w:val="16"/>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31"/>
  </w:num>
  <w:num w:numId="36">
    <w:abstractNumId w:val="26"/>
  </w:num>
  <w:num w:numId="37">
    <w:abstractNumId w:val="33"/>
  </w:num>
  <w:num w:numId="38">
    <w:abstractNumId w:val="41"/>
  </w:num>
  <w:num w:numId="39">
    <w:abstractNumId w:val="23"/>
  </w:num>
  <w:num w:numId="40">
    <w:abstractNumId w:val="21"/>
  </w:num>
  <w:num w:numId="41">
    <w:abstractNumId w:val="37"/>
  </w:num>
  <w:num w:numId="42">
    <w:abstractNumId w:val="39"/>
  </w:num>
  <w:num w:numId="43">
    <w:abstractNumId w:val="24"/>
  </w:num>
  <w:num w:numId="44">
    <w:abstractNumId w:val="43"/>
  </w:num>
  <w:num w:numId="45">
    <w:abstractNumId w:val="34"/>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576"/>
    <w:rsid w:val="000042A9"/>
    <w:rsid w:val="000200E8"/>
    <w:rsid w:val="00041516"/>
    <w:rsid w:val="00081B2A"/>
    <w:rsid w:val="000924F1"/>
    <w:rsid w:val="00092B1A"/>
    <w:rsid w:val="00093CA5"/>
    <w:rsid w:val="00093CE7"/>
    <w:rsid w:val="0009491F"/>
    <w:rsid w:val="0009515A"/>
    <w:rsid w:val="00096486"/>
    <w:rsid w:val="00097266"/>
    <w:rsid w:val="000A7EE6"/>
    <w:rsid w:val="000C0AA0"/>
    <w:rsid w:val="000C380A"/>
    <w:rsid w:val="000D63F1"/>
    <w:rsid w:val="000D7561"/>
    <w:rsid w:val="000E086F"/>
    <w:rsid w:val="000E2449"/>
    <w:rsid w:val="000F6737"/>
    <w:rsid w:val="001052FF"/>
    <w:rsid w:val="00110178"/>
    <w:rsid w:val="001175C6"/>
    <w:rsid w:val="00124D4C"/>
    <w:rsid w:val="0013202B"/>
    <w:rsid w:val="001347DA"/>
    <w:rsid w:val="00146014"/>
    <w:rsid w:val="00153470"/>
    <w:rsid w:val="001720AF"/>
    <w:rsid w:val="00187D34"/>
    <w:rsid w:val="00191FC0"/>
    <w:rsid w:val="001A4258"/>
    <w:rsid w:val="001A5943"/>
    <w:rsid w:val="001B0434"/>
    <w:rsid w:val="001B4416"/>
    <w:rsid w:val="001D49BB"/>
    <w:rsid w:val="001D7E1E"/>
    <w:rsid w:val="001E0159"/>
    <w:rsid w:val="001E2604"/>
    <w:rsid w:val="002114F6"/>
    <w:rsid w:val="00217665"/>
    <w:rsid w:val="0022735F"/>
    <w:rsid w:val="00233EF8"/>
    <w:rsid w:val="00236430"/>
    <w:rsid w:val="0024170A"/>
    <w:rsid w:val="00242D30"/>
    <w:rsid w:val="0026244A"/>
    <w:rsid w:val="00262710"/>
    <w:rsid w:val="0026352C"/>
    <w:rsid w:val="002660E9"/>
    <w:rsid w:val="00272E9E"/>
    <w:rsid w:val="002735A4"/>
    <w:rsid w:val="00273846"/>
    <w:rsid w:val="00277BBE"/>
    <w:rsid w:val="002817ED"/>
    <w:rsid w:val="00282272"/>
    <w:rsid w:val="00285EED"/>
    <w:rsid w:val="00286953"/>
    <w:rsid w:val="00295499"/>
    <w:rsid w:val="00297752"/>
    <w:rsid w:val="002A11C1"/>
    <w:rsid w:val="002A3069"/>
    <w:rsid w:val="002A5285"/>
    <w:rsid w:val="002A6AAB"/>
    <w:rsid w:val="002C74AD"/>
    <w:rsid w:val="002D19A8"/>
    <w:rsid w:val="002D7AF3"/>
    <w:rsid w:val="00301C0A"/>
    <w:rsid w:val="00302D9D"/>
    <w:rsid w:val="00304D57"/>
    <w:rsid w:val="00316820"/>
    <w:rsid w:val="003227A2"/>
    <w:rsid w:val="00326D33"/>
    <w:rsid w:val="00331058"/>
    <w:rsid w:val="00340618"/>
    <w:rsid w:val="00341E95"/>
    <w:rsid w:val="003433CB"/>
    <w:rsid w:val="00352CB7"/>
    <w:rsid w:val="00353215"/>
    <w:rsid w:val="003618DD"/>
    <w:rsid w:val="00365D44"/>
    <w:rsid w:val="00372139"/>
    <w:rsid w:val="00373853"/>
    <w:rsid w:val="00373E21"/>
    <w:rsid w:val="00374C88"/>
    <w:rsid w:val="0038315E"/>
    <w:rsid w:val="003861E8"/>
    <w:rsid w:val="003869CC"/>
    <w:rsid w:val="00394D9E"/>
    <w:rsid w:val="003A5290"/>
    <w:rsid w:val="003B4390"/>
    <w:rsid w:val="003B4A16"/>
    <w:rsid w:val="003B5A9B"/>
    <w:rsid w:val="003C77F2"/>
    <w:rsid w:val="003D2374"/>
    <w:rsid w:val="003E327F"/>
    <w:rsid w:val="003E411D"/>
    <w:rsid w:val="003E6654"/>
    <w:rsid w:val="003F0576"/>
    <w:rsid w:val="003F1F9B"/>
    <w:rsid w:val="00416FC6"/>
    <w:rsid w:val="00421D98"/>
    <w:rsid w:val="004406AB"/>
    <w:rsid w:val="00444D80"/>
    <w:rsid w:val="00446763"/>
    <w:rsid w:val="00456567"/>
    <w:rsid w:val="00473614"/>
    <w:rsid w:val="00474648"/>
    <w:rsid w:val="00496915"/>
    <w:rsid w:val="004A4206"/>
    <w:rsid w:val="004A7C07"/>
    <w:rsid w:val="004C3FCC"/>
    <w:rsid w:val="004D4296"/>
    <w:rsid w:val="004E730E"/>
    <w:rsid w:val="00507A22"/>
    <w:rsid w:val="00507CF7"/>
    <w:rsid w:val="005141F5"/>
    <w:rsid w:val="005215BC"/>
    <w:rsid w:val="0052532E"/>
    <w:rsid w:val="005362A5"/>
    <w:rsid w:val="00542B6F"/>
    <w:rsid w:val="00542CB1"/>
    <w:rsid w:val="00552E3F"/>
    <w:rsid w:val="005601CB"/>
    <w:rsid w:val="00563D48"/>
    <w:rsid w:val="0056611D"/>
    <w:rsid w:val="005702FF"/>
    <w:rsid w:val="005741A1"/>
    <w:rsid w:val="00577B97"/>
    <w:rsid w:val="0058693D"/>
    <w:rsid w:val="0059177B"/>
    <w:rsid w:val="005935F7"/>
    <w:rsid w:val="005C5760"/>
    <w:rsid w:val="005E4DDA"/>
    <w:rsid w:val="005F0A4E"/>
    <w:rsid w:val="005F2A53"/>
    <w:rsid w:val="005F3DE6"/>
    <w:rsid w:val="005F7CB7"/>
    <w:rsid w:val="00605F27"/>
    <w:rsid w:val="006121F5"/>
    <w:rsid w:val="00620DE8"/>
    <w:rsid w:val="006228E3"/>
    <w:rsid w:val="00627211"/>
    <w:rsid w:val="00661BA2"/>
    <w:rsid w:val="006644E4"/>
    <w:rsid w:val="00666D5E"/>
    <w:rsid w:val="00676AE9"/>
    <w:rsid w:val="00685B20"/>
    <w:rsid w:val="006907D6"/>
    <w:rsid w:val="006916E4"/>
    <w:rsid w:val="00691FF6"/>
    <w:rsid w:val="006926E4"/>
    <w:rsid w:val="00692FF7"/>
    <w:rsid w:val="006A0342"/>
    <w:rsid w:val="006A132D"/>
    <w:rsid w:val="006A7D19"/>
    <w:rsid w:val="006C14FE"/>
    <w:rsid w:val="006D11C7"/>
    <w:rsid w:val="006D2047"/>
    <w:rsid w:val="006E65D6"/>
    <w:rsid w:val="006E792A"/>
    <w:rsid w:val="00704A22"/>
    <w:rsid w:val="00713EDD"/>
    <w:rsid w:val="00722963"/>
    <w:rsid w:val="0072407C"/>
    <w:rsid w:val="00734C82"/>
    <w:rsid w:val="007503C8"/>
    <w:rsid w:val="00760F04"/>
    <w:rsid w:val="00770991"/>
    <w:rsid w:val="007752C2"/>
    <w:rsid w:val="0078122B"/>
    <w:rsid w:val="007B1E9D"/>
    <w:rsid w:val="007C52CB"/>
    <w:rsid w:val="007D69DF"/>
    <w:rsid w:val="007E0E64"/>
    <w:rsid w:val="007F2BA5"/>
    <w:rsid w:val="007F3F72"/>
    <w:rsid w:val="00803C56"/>
    <w:rsid w:val="008121B5"/>
    <w:rsid w:val="00812646"/>
    <w:rsid w:val="0081386B"/>
    <w:rsid w:val="00823509"/>
    <w:rsid w:val="00825B0D"/>
    <w:rsid w:val="00826E07"/>
    <w:rsid w:val="00833119"/>
    <w:rsid w:val="00835276"/>
    <w:rsid w:val="00836F8B"/>
    <w:rsid w:val="00844C69"/>
    <w:rsid w:val="00854AEC"/>
    <w:rsid w:val="008564C7"/>
    <w:rsid w:val="0085740D"/>
    <w:rsid w:val="0085765B"/>
    <w:rsid w:val="0086167C"/>
    <w:rsid w:val="00874486"/>
    <w:rsid w:val="0088088C"/>
    <w:rsid w:val="008836F1"/>
    <w:rsid w:val="0088504B"/>
    <w:rsid w:val="00887A20"/>
    <w:rsid w:val="008A0354"/>
    <w:rsid w:val="008B47F9"/>
    <w:rsid w:val="008B6986"/>
    <w:rsid w:val="008C2EFB"/>
    <w:rsid w:val="008D0407"/>
    <w:rsid w:val="008D13F9"/>
    <w:rsid w:val="00901375"/>
    <w:rsid w:val="0090766A"/>
    <w:rsid w:val="00912997"/>
    <w:rsid w:val="0092120A"/>
    <w:rsid w:val="009238F8"/>
    <w:rsid w:val="00923F8B"/>
    <w:rsid w:val="00925707"/>
    <w:rsid w:val="009258FA"/>
    <w:rsid w:val="00933B2D"/>
    <w:rsid w:val="00935382"/>
    <w:rsid w:val="0095146F"/>
    <w:rsid w:val="009530B2"/>
    <w:rsid w:val="0095419B"/>
    <w:rsid w:val="009646FA"/>
    <w:rsid w:val="00965EF7"/>
    <w:rsid w:val="00967021"/>
    <w:rsid w:val="009729A8"/>
    <w:rsid w:val="0098027D"/>
    <w:rsid w:val="009A61D2"/>
    <w:rsid w:val="009A77A7"/>
    <w:rsid w:val="009B3E1A"/>
    <w:rsid w:val="009B7529"/>
    <w:rsid w:val="009C6C18"/>
    <w:rsid w:val="009D192A"/>
    <w:rsid w:val="009D3F89"/>
    <w:rsid w:val="009D4500"/>
    <w:rsid w:val="009D759A"/>
    <w:rsid w:val="009E6552"/>
    <w:rsid w:val="009F10FB"/>
    <w:rsid w:val="009F36A4"/>
    <w:rsid w:val="009F42D8"/>
    <w:rsid w:val="009F6995"/>
    <w:rsid w:val="00A121B9"/>
    <w:rsid w:val="00A14A36"/>
    <w:rsid w:val="00A1751C"/>
    <w:rsid w:val="00A17B14"/>
    <w:rsid w:val="00A21A81"/>
    <w:rsid w:val="00A21B83"/>
    <w:rsid w:val="00A23B0B"/>
    <w:rsid w:val="00A45C0D"/>
    <w:rsid w:val="00A500C0"/>
    <w:rsid w:val="00A5045A"/>
    <w:rsid w:val="00A6499B"/>
    <w:rsid w:val="00A72AEB"/>
    <w:rsid w:val="00A73932"/>
    <w:rsid w:val="00A9331E"/>
    <w:rsid w:val="00A9396D"/>
    <w:rsid w:val="00A9563D"/>
    <w:rsid w:val="00AA39EE"/>
    <w:rsid w:val="00AA6E59"/>
    <w:rsid w:val="00AB0A4B"/>
    <w:rsid w:val="00AB1438"/>
    <w:rsid w:val="00AB5023"/>
    <w:rsid w:val="00AC69D3"/>
    <w:rsid w:val="00AD1B1E"/>
    <w:rsid w:val="00AD4F79"/>
    <w:rsid w:val="00AD523F"/>
    <w:rsid w:val="00AE0A1C"/>
    <w:rsid w:val="00AE7863"/>
    <w:rsid w:val="00B00C55"/>
    <w:rsid w:val="00B02155"/>
    <w:rsid w:val="00B05AC0"/>
    <w:rsid w:val="00B11FEB"/>
    <w:rsid w:val="00B125C7"/>
    <w:rsid w:val="00B12AD7"/>
    <w:rsid w:val="00B5519D"/>
    <w:rsid w:val="00B57D10"/>
    <w:rsid w:val="00B629C6"/>
    <w:rsid w:val="00B71970"/>
    <w:rsid w:val="00B72083"/>
    <w:rsid w:val="00B83699"/>
    <w:rsid w:val="00B837E9"/>
    <w:rsid w:val="00B95534"/>
    <w:rsid w:val="00BC515C"/>
    <w:rsid w:val="00BF4DB6"/>
    <w:rsid w:val="00BF7247"/>
    <w:rsid w:val="00C112D6"/>
    <w:rsid w:val="00C129CF"/>
    <w:rsid w:val="00C143AE"/>
    <w:rsid w:val="00C17B90"/>
    <w:rsid w:val="00C26521"/>
    <w:rsid w:val="00C27A28"/>
    <w:rsid w:val="00C32571"/>
    <w:rsid w:val="00C42475"/>
    <w:rsid w:val="00C42E2B"/>
    <w:rsid w:val="00C53047"/>
    <w:rsid w:val="00C548AF"/>
    <w:rsid w:val="00C57DF8"/>
    <w:rsid w:val="00C60A8C"/>
    <w:rsid w:val="00C63531"/>
    <w:rsid w:val="00C71FBF"/>
    <w:rsid w:val="00C80D54"/>
    <w:rsid w:val="00C87C89"/>
    <w:rsid w:val="00CB3753"/>
    <w:rsid w:val="00CD3E6D"/>
    <w:rsid w:val="00CE2EFD"/>
    <w:rsid w:val="00CE7B53"/>
    <w:rsid w:val="00CF247B"/>
    <w:rsid w:val="00CF26CF"/>
    <w:rsid w:val="00CF4371"/>
    <w:rsid w:val="00CF77DC"/>
    <w:rsid w:val="00D05B3A"/>
    <w:rsid w:val="00D14BF0"/>
    <w:rsid w:val="00D245B9"/>
    <w:rsid w:val="00D2496E"/>
    <w:rsid w:val="00D27373"/>
    <w:rsid w:val="00D35459"/>
    <w:rsid w:val="00D520E6"/>
    <w:rsid w:val="00D5255F"/>
    <w:rsid w:val="00D56BBF"/>
    <w:rsid w:val="00D64C74"/>
    <w:rsid w:val="00D66ECB"/>
    <w:rsid w:val="00D7399E"/>
    <w:rsid w:val="00D75CF6"/>
    <w:rsid w:val="00D8169A"/>
    <w:rsid w:val="00D863B0"/>
    <w:rsid w:val="00D903BC"/>
    <w:rsid w:val="00D95B31"/>
    <w:rsid w:val="00DA0A7E"/>
    <w:rsid w:val="00DA3125"/>
    <w:rsid w:val="00DB554C"/>
    <w:rsid w:val="00DB65C4"/>
    <w:rsid w:val="00DB6EB4"/>
    <w:rsid w:val="00DC0710"/>
    <w:rsid w:val="00DD654F"/>
    <w:rsid w:val="00E009F8"/>
    <w:rsid w:val="00E11D53"/>
    <w:rsid w:val="00E3486C"/>
    <w:rsid w:val="00E44ABE"/>
    <w:rsid w:val="00E5328C"/>
    <w:rsid w:val="00E76C12"/>
    <w:rsid w:val="00E877B2"/>
    <w:rsid w:val="00E942F7"/>
    <w:rsid w:val="00E97043"/>
    <w:rsid w:val="00EA54D0"/>
    <w:rsid w:val="00EB6517"/>
    <w:rsid w:val="00EC162F"/>
    <w:rsid w:val="00EC4048"/>
    <w:rsid w:val="00EC5AAB"/>
    <w:rsid w:val="00EE379C"/>
    <w:rsid w:val="00EE4C45"/>
    <w:rsid w:val="00EE4D5F"/>
    <w:rsid w:val="00F00464"/>
    <w:rsid w:val="00F10629"/>
    <w:rsid w:val="00F17C4B"/>
    <w:rsid w:val="00F25196"/>
    <w:rsid w:val="00F30A56"/>
    <w:rsid w:val="00F30A73"/>
    <w:rsid w:val="00F36E2B"/>
    <w:rsid w:val="00F40EA7"/>
    <w:rsid w:val="00F410D4"/>
    <w:rsid w:val="00F50711"/>
    <w:rsid w:val="00F54142"/>
    <w:rsid w:val="00F844C6"/>
    <w:rsid w:val="00F85C6C"/>
    <w:rsid w:val="00F85FD4"/>
    <w:rsid w:val="00F871DC"/>
    <w:rsid w:val="00F93E16"/>
    <w:rsid w:val="00F95D27"/>
    <w:rsid w:val="00FA097B"/>
    <w:rsid w:val="00FA2906"/>
    <w:rsid w:val="00FA608E"/>
    <w:rsid w:val="00FB1672"/>
    <w:rsid w:val="00FB52A0"/>
    <w:rsid w:val="00FB5F22"/>
    <w:rsid w:val="00FC31CC"/>
    <w:rsid w:val="00FC5BF4"/>
    <w:rsid w:val="00FE2193"/>
    <w:rsid w:val="00FF3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B329D32"/>
  <w15:docId w15:val="{4B0C80C4-99E0-4976-A8DF-1B7F4A21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imes New Roman"/>
        <w:lang w:val="en-GB" w:eastAsia="en-GB"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2" w:unhideWhenUsed="1" w:qFormat="1"/>
    <w:lsdException w:name="heading 3" w:semiHidden="1" w:uiPriority="2" w:unhideWhenUsed="1"/>
    <w:lsdException w:name="heading 4" w:semiHidden="1" w:unhideWhenUsed="1" w:qFormat="1"/>
    <w:lsdException w:name="heading 5" w:semiHidden="1"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9" w:unhideWhenUsed="1"/>
    <w:lsdException w:name="annotation text" w:semiHidden="1" w:unhideWhenUsed="1"/>
    <w:lsdException w:name="header" w:semiHidden="1" w:uiPriority="29" w:unhideWhenUsed="1"/>
    <w:lsdException w:name="footer" w:semiHidden="1" w:uiPriority="2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iPriority="37" w:unhideWhenUsed="1"/>
    <w:lsdException w:name="TOC Heading" w:semiHidden="1" w:uiPriority="2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AD4F79"/>
    <w:pPr>
      <w:spacing w:line="260" w:lineRule="atLeast"/>
    </w:pPr>
    <w:rPr>
      <w:sz w:val="22"/>
      <w:szCs w:val="22"/>
    </w:rPr>
  </w:style>
  <w:style w:type="paragraph" w:styleId="Heading1">
    <w:name w:val="heading 1"/>
    <w:basedOn w:val="Normal"/>
    <w:next w:val="BodyText"/>
    <w:link w:val="Heading1Char"/>
    <w:uiPriority w:val="2"/>
    <w:qFormat/>
    <w:rsid w:val="00AD4F79"/>
    <w:pPr>
      <w:spacing w:before="240" w:after="120"/>
      <w:outlineLvl w:val="0"/>
    </w:pPr>
    <w:rPr>
      <w:b/>
    </w:rPr>
  </w:style>
  <w:style w:type="paragraph" w:styleId="Heading2">
    <w:name w:val="heading 2"/>
    <w:basedOn w:val="Heading1"/>
    <w:next w:val="BodyText"/>
    <w:link w:val="Heading2Char"/>
    <w:uiPriority w:val="2"/>
    <w:qFormat/>
    <w:rsid w:val="00AD4F79"/>
    <w:pPr>
      <w:numPr>
        <w:ilvl w:val="1"/>
      </w:numPr>
      <w:spacing w:after="0"/>
      <w:outlineLvl w:val="1"/>
    </w:pPr>
  </w:style>
  <w:style w:type="paragraph" w:styleId="Heading3">
    <w:name w:val="heading 3"/>
    <w:basedOn w:val="Normal"/>
    <w:next w:val="BodyText"/>
    <w:link w:val="Heading3Char"/>
    <w:uiPriority w:val="2"/>
    <w:rsid w:val="00AD4F79"/>
    <w:pPr>
      <w:keepNext/>
      <w:keepLines/>
      <w:spacing w:before="240"/>
      <w:outlineLvl w:val="2"/>
    </w:pPr>
    <w:rPr>
      <w:rFonts w:eastAsiaTheme="majorEastAsia" w:cstheme="majorBidi"/>
      <w:color w:val="78A22F" w:themeColor="accent1"/>
      <w:szCs w:val="24"/>
    </w:rPr>
  </w:style>
  <w:style w:type="paragraph" w:styleId="Heading4">
    <w:name w:val="heading 4"/>
    <w:basedOn w:val="Normal"/>
    <w:next w:val="BodyText"/>
    <w:link w:val="Heading4Char"/>
    <w:uiPriority w:val="99"/>
    <w:rsid w:val="00AD4F79"/>
    <w:pPr>
      <w:keepNext/>
      <w:keepLines/>
      <w:outlineLvl w:val="3"/>
    </w:pPr>
    <w:rPr>
      <w:rFonts w:eastAsiaTheme="majorEastAsia" w:cstheme="majorBidi"/>
      <w:b/>
      <w:iCs/>
      <w:color w:val="808285" w:themeColor="accent5"/>
    </w:rPr>
  </w:style>
  <w:style w:type="paragraph" w:styleId="Heading5">
    <w:name w:val="heading 5"/>
    <w:basedOn w:val="Normal"/>
    <w:next w:val="BodyText"/>
    <w:link w:val="Heading5Char"/>
    <w:uiPriority w:val="99"/>
    <w:rsid w:val="00AD4F79"/>
    <w:pPr>
      <w:keepNext/>
      <w:keepLines/>
      <w:outlineLvl w:val="4"/>
    </w:pPr>
    <w:rPr>
      <w:rFonts w:eastAsiaTheme="majorEastAsia" w:cstheme="majorBid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rsid w:val="00AD4F79"/>
    <w:pPr>
      <w:tabs>
        <w:tab w:val="center" w:pos="4513"/>
        <w:tab w:val="right" w:pos="9026"/>
      </w:tabs>
      <w:spacing w:line="240" w:lineRule="auto"/>
      <w:jc w:val="right"/>
    </w:pPr>
    <w:rPr>
      <w:rFonts w:asciiTheme="majorHAnsi" w:hAnsiTheme="majorHAnsi"/>
      <w:sz w:val="18"/>
    </w:rPr>
  </w:style>
  <w:style w:type="character" w:customStyle="1" w:styleId="HeaderChar">
    <w:name w:val="Header Char"/>
    <w:basedOn w:val="DefaultParagraphFont"/>
    <w:link w:val="Header"/>
    <w:uiPriority w:val="29"/>
    <w:rsid w:val="00AD4F79"/>
    <w:rPr>
      <w:rFonts w:asciiTheme="majorHAnsi" w:hAnsiTheme="majorHAnsi"/>
      <w:sz w:val="18"/>
      <w:szCs w:val="22"/>
    </w:rPr>
  </w:style>
  <w:style w:type="paragraph" w:styleId="Footer">
    <w:name w:val="footer"/>
    <w:basedOn w:val="Normal"/>
    <w:link w:val="FooterChar"/>
    <w:uiPriority w:val="29"/>
    <w:rsid w:val="00AD4F79"/>
    <w:pPr>
      <w:tabs>
        <w:tab w:val="center" w:pos="4513"/>
        <w:tab w:val="right" w:pos="9026"/>
      </w:tabs>
      <w:spacing w:line="240" w:lineRule="auto"/>
      <w:ind w:right="397"/>
    </w:pPr>
    <w:rPr>
      <w:rFonts w:asciiTheme="majorHAnsi" w:hAnsiTheme="majorHAnsi"/>
      <w:color w:val="78A22F" w:themeColor="accent1"/>
      <w:sz w:val="18"/>
    </w:rPr>
  </w:style>
  <w:style w:type="character" w:customStyle="1" w:styleId="FooterChar">
    <w:name w:val="Footer Char"/>
    <w:basedOn w:val="DefaultParagraphFont"/>
    <w:link w:val="Footer"/>
    <w:uiPriority w:val="29"/>
    <w:rsid w:val="00AD4F79"/>
    <w:rPr>
      <w:rFonts w:asciiTheme="majorHAnsi" w:hAnsiTheme="majorHAnsi"/>
      <w:color w:val="78A22F" w:themeColor="accent1"/>
      <w:sz w:val="18"/>
      <w:szCs w:val="22"/>
    </w:rPr>
  </w:style>
  <w:style w:type="paragraph" w:customStyle="1" w:styleId="FooterHeading">
    <w:name w:val="Footer Heading"/>
    <w:basedOn w:val="Normal"/>
    <w:uiPriority w:val="29"/>
    <w:rsid w:val="00AD4F79"/>
    <w:pPr>
      <w:spacing w:line="220" w:lineRule="atLeast"/>
    </w:pPr>
    <w:rPr>
      <w:rFonts w:asciiTheme="majorHAnsi" w:eastAsiaTheme="minorEastAsia" w:hAnsiTheme="majorHAnsi" w:cstheme="minorBidi"/>
      <w:b/>
      <w:color w:val="78A22F" w:themeColor="accent1"/>
      <w:sz w:val="18"/>
    </w:rPr>
  </w:style>
  <w:style w:type="paragraph" w:customStyle="1" w:styleId="FooterOffices">
    <w:name w:val="Footer Offices"/>
    <w:basedOn w:val="Normal"/>
    <w:uiPriority w:val="29"/>
    <w:rsid w:val="00AD4F79"/>
    <w:pPr>
      <w:spacing w:line="220" w:lineRule="atLeast"/>
    </w:pPr>
    <w:rPr>
      <w:rFonts w:eastAsiaTheme="minorEastAsia" w:cstheme="minorBidi"/>
      <w:color w:val="000000" w:themeColor="text1"/>
      <w:sz w:val="18"/>
    </w:rPr>
  </w:style>
  <w:style w:type="paragraph" w:customStyle="1" w:styleId="FooterRegistration">
    <w:name w:val="Footer Registration"/>
    <w:basedOn w:val="FooterOffices"/>
    <w:uiPriority w:val="29"/>
    <w:rsid w:val="00AD4F79"/>
    <w:rPr>
      <w:sz w:val="14"/>
    </w:rPr>
  </w:style>
  <w:style w:type="paragraph" w:styleId="Title">
    <w:name w:val="Title"/>
    <w:next w:val="Subtitle"/>
    <w:link w:val="TitleChar"/>
    <w:uiPriority w:val="8"/>
    <w:qFormat/>
    <w:rsid w:val="00AD4F79"/>
    <w:pPr>
      <w:pBdr>
        <w:top w:val="single" w:sz="8" w:space="5" w:color="78A22F" w:themeColor="accent1"/>
      </w:pBdr>
      <w:spacing w:line="320" w:lineRule="atLeast"/>
    </w:pPr>
    <w:rPr>
      <w:rFonts w:asciiTheme="majorHAnsi" w:eastAsiaTheme="majorEastAsia" w:hAnsiTheme="majorHAnsi" w:cstheme="majorBidi"/>
      <w:b/>
      <w:color w:val="78A22F" w:themeColor="accent1"/>
      <w:sz w:val="32"/>
      <w:szCs w:val="32"/>
    </w:rPr>
  </w:style>
  <w:style w:type="character" w:customStyle="1" w:styleId="TitleChar">
    <w:name w:val="Title Char"/>
    <w:basedOn w:val="DefaultParagraphFont"/>
    <w:link w:val="Title"/>
    <w:uiPriority w:val="8"/>
    <w:rsid w:val="00AD4F79"/>
    <w:rPr>
      <w:rFonts w:asciiTheme="majorHAnsi" w:eastAsiaTheme="majorEastAsia" w:hAnsiTheme="majorHAnsi" w:cstheme="majorBidi"/>
      <w:b/>
      <w:color w:val="78A22F" w:themeColor="accent1"/>
      <w:sz w:val="32"/>
      <w:szCs w:val="32"/>
    </w:rPr>
  </w:style>
  <w:style w:type="character" w:styleId="Hyperlink">
    <w:name w:val="Hyperlink"/>
    <w:uiPriority w:val="99"/>
    <w:unhideWhenUsed/>
    <w:rsid w:val="00AD4F79"/>
    <w:rPr>
      <w:color w:val="78A22F" w:themeColor="accent1"/>
      <w:u w:val="single"/>
    </w:rPr>
  </w:style>
  <w:style w:type="character" w:styleId="FollowedHyperlink">
    <w:name w:val="FollowedHyperlink"/>
    <w:basedOn w:val="DefaultParagraphFont"/>
    <w:uiPriority w:val="99"/>
    <w:semiHidden/>
    <w:unhideWhenUsed/>
    <w:rsid w:val="00AD4F79"/>
    <w:rPr>
      <w:color w:val="800080" w:themeColor="followedHyperlink"/>
      <w:u w:val="single"/>
    </w:rPr>
  </w:style>
  <w:style w:type="character" w:customStyle="1" w:styleId="Heading1Char">
    <w:name w:val="Heading 1 Char"/>
    <w:basedOn w:val="DefaultParagraphFont"/>
    <w:link w:val="Heading1"/>
    <w:uiPriority w:val="2"/>
    <w:rsid w:val="00AD4F79"/>
    <w:rPr>
      <w:b/>
      <w:sz w:val="22"/>
      <w:szCs w:val="22"/>
    </w:rPr>
  </w:style>
  <w:style w:type="character" w:customStyle="1" w:styleId="Heading2Char">
    <w:name w:val="Heading 2 Char"/>
    <w:basedOn w:val="DefaultParagraphFont"/>
    <w:link w:val="Heading2"/>
    <w:uiPriority w:val="2"/>
    <w:rsid w:val="00AD4F79"/>
    <w:rPr>
      <w:b/>
      <w:sz w:val="22"/>
      <w:szCs w:val="22"/>
    </w:rPr>
  </w:style>
  <w:style w:type="character" w:customStyle="1" w:styleId="Heading3Char">
    <w:name w:val="Heading 3 Char"/>
    <w:basedOn w:val="DefaultParagraphFont"/>
    <w:link w:val="Heading3"/>
    <w:uiPriority w:val="2"/>
    <w:rsid w:val="00AD4F79"/>
    <w:rPr>
      <w:rFonts w:eastAsiaTheme="majorEastAsia" w:cstheme="majorBidi"/>
      <w:color w:val="78A22F" w:themeColor="accent1"/>
      <w:sz w:val="22"/>
      <w:szCs w:val="24"/>
    </w:rPr>
  </w:style>
  <w:style w:type="character" w:customStyle="1" w:styleId="Heading4Char">
    <w:name w:val="Heading 4 Char"/>
    <w:basedOn w:val="DefaultParagraphFont"/>
    <w:link w:val="Heading4"/>
    <w:uiPriority w:val="99"/>
    <w:rsid w:val="00AD4F79"/>
    <w:rPr>
      <w:rFonts w:eastAsiaTheme="majorEastAsia" w:cstheme="majorBidi"/>
      <w:b/>
      <w:iCs/>
      <w:color w:val="808285" w:themeColor="accent5"/>
      <w:sz w:val="22"/>
      <w:szCs w:val="22"/>
    </w:rPr>
  </w:style>
  <w:style w:type="paragraph" w:styleId="Subtitle">
    <w:name w:val="Subtitle"/>
    <w:next w:val="Date"/>
    <w:link w:val="SubtitleChar"/>
    <w:uiPriority w:val="9"/>
    <w:qFormat/>
    <w:rsid w:val="00AD4F79"/>
    <w:pPr>
      <w:spacing w:line="320" w:lineRule="atLeast"/>
    </w:pPr>
    <w:rPr>
      <w:rFonts w:eastAsiaTheme="majorEastAsia" w:cstheme="majorBidi"/>
      <w:b/>
      <w:sz w:val="28"/>
      <w:szCs w:val="26"/>
    </w:rPr>
  </w:style>
  <w:style w:type="character" w:customStyle="1" w:styleId="SubtitleChar">
    <w:name w:val="Subtitle Char"/>
    <w:basedOn w:val="DefaultParagraphFont"/>
    <w:link w:val="Subtitle"/>
    <w:uiPriority w:val="9"/>
    <w:rsid w:val="00AD4F79"/>
    <w:rPr>
      <w:rFonts w:eastAsiaTheme="majorEastAsia" w:cstheme="majorBidi"/>
      <w:b/>
      <w:sz w:val="28"/>
      <w:szCs w:val="26"/>
    </w:rPr>
  </w:style>
  <w:style w:type="character" w:customStyle="1" w:styleId="Heading5Char">
    <w:name w:val="Heading 5 Char"/>
    <w:basedOn w:val="DefaultParagraphFont"/>
    <w:link w:val="Heading5"/>
    <w:uiPriority w:val="99"/>
    <w:rsid w:val="00AD4F79"/>
    <w:rPr>
      <w:rFonts w:eastAsiaTheme="majorEastAsia" w:cstheme="majorBidi"/>
      <w:sz w:val="18"/>
      <w:szCs w:val="22"/>
    </w:rPr>
  </w:style>
  <w:style w:type="paragraph" w:styleId="BalloonText">
    <w:name w:val="Balloon Text"/>
    <w:basedOn w:val="Normal"/>
    <w:link w:val="BalloonTextChar"/>
    <w:uiPriority w:val="99"/>
    <w:semiHidden/>
    <w:unhideWhenUsed/>
    <w:rsid w:val="00AD4F7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F79"/>
    <w:rPr>
      <w:rFonts w:ascii="Segoe UI" w:hAnsi="Segoe UI" w:cs="Segoe UI"/>
      <w:sz w:val="18"/>
      <w:szCs w:val="18"/>
    </w:rPr>
  </w:style>
  <w:style w:type="paragraph" w:customStyle="1" w:styleId="Subject">
    <w:name w:val="Subject"/>
    <w:basedOn w:val="BodyText"/>
    <w:next w:val="BodyTextIndented2"/>
    <w:uiPriority w:val="13"/>
    <w:qFormat/>
    <w:rsid w:val="00AD4F79"/>
    <w:pPr>
      <w:spacing w:before="60" w:after="60"/>
      <w:jc w:val="left"/>
    </w:pPr>
    <w:rPr>
      <w:rFonts w:asciiTheme="majorHAnsi" w:hAnsiTheme="majorHAnsi"/>
      <w:b/>
      <w:color w:val="78A22F" w:themeColor="accent1"/>
    </w:rPr>
  </w:style>
  <w:style w:type="paragraph" w:styleId="NoSpacing">
    <w:name w:val="No Spacing"/>
    <w:uiPriority w:val="99"/>
    <w:semiHidden/>
    <w:qFormat/>
    <w:rsid w:val="00AD4F79"/>
    <w:pPr>
      <w:jc w:val="both"/>
    </w:pPr>
    <w:rPr>
      <w:sz w:val="22"/>
      <w:szCs w:val="22"/>
    </w:rPr>
  </w:style>
  <w:style w:type="paragraph" w:customStyle="1" w:styleId="Subject2">
    <w:name w:val="Subject2"/>
    <w:basedOn w:val="BodyText"/>
    <w:next w:val="BodyTextIndented2"/>
    <w:uiPriority w:val="13"/>
    <w:qFormat/>
    <w:rsid w:val="00AD4F79"/>
    <w:pPr>
      <w:spacing w:before="60" w:after="60"/>
      <w:jc w:val="left"/>
    </w:pPr>
    <w:rPr>
      <w:rFonts w:asciiTheme="majorHAnsi" w:hAnsiTheme="majorHAnsi"/>
      <w:b/>
      <w:color w:val="58595B" w:themeColor="accent6"/>
    </w:rPr>
  </w:style>
  <w:style w:type="numbering" w:customStyle="1" w:styleId="AFMENumbering">
    <w:name w:val="AFME Numbering"/>
    <w:uiPriority w:val="99"/>
    <w:rsid w:val="00AD4F79"/>
    <w:pPr>
      <w:numPr>
        <w:numId w:val="1"/>
      </w:numPr>
    </w:pPr>
  </w:style>
  <w:style w:type="numbering" w:customStyle="1" w:styleId="AFMEBullets">
    <w:name w:val="AFME Bullets"/>
    <w:uiPriority w:val="99"/>
    <w:rsid w:val="00AD4F79"/>
    <w:pPr>
      <w:numPr>
        <w:numId w:val="6"/>
      </w:numPr>
    </w:pPr>
  </w:style>
  <w:style w:type="paragraph" w:styleId="ListParagraph">
    <w:name w:val="List Paragraph"/>
    <w:basedOn w:val="Normal"/>
    <w:uiPriority w:val="34"/>
    <w:qFormat/>
    <w:rsid w:val="00AD4F79"/>
    <w:pPr>
      <w:ind w:left="720"/>
      <w:contextualSpacing/>
    </w:pPr>
  </w:style>
  <w:style w:type="paragraph" w:customStyle="1" w:styleId="Bullets1">
    <w:name w:val="Bullets 1"/>
    <w:basedOn w:val="Normal"/>
    <w:uiPriority w:val="4"/>
    <w:qFormat/>
    <w:rsid w:val="00AD4F79"/>
    <w:pPr>
      <w:numPr>
        <w:numId w:val="36"/>
      </w:numPr>
      <w:spacing w:after="120"/>
      <w:contextualSpacing/>
    </w:pPr>
  </w:style>
  <w:style w:type="paragraph" w:customStyle="1" w:styleId="Bullets2">
    <w:name w:val="Bullets 2"/>
    <w:basedOn w:val="Bullets1"/>
    <w:uiPriority w:val="4"/>
    <w:qFormat/>
    <w:rsid w:val="00AD4F79"/>
    <w:pPr>
      <w:numPr>
        <w:ilvl w:val="1"/>
      </w:numPr>
    </w:pPr>
  </w:style>
  <w:style w:type="paragraph" w:customStyle="1" w:styleId="Bullets3">
    <w:name w:val="Bullets 3"/>
    <w:basedOn w:val="Bullets2"/>
    <w:uiPriority w:val="4"/>
    <w:unhideWhenUsed/>
    <w:rsid w:val="00AD4F79"/>
    <w:pPr>
      <w:numPr>
        <w:ilvl w:val="2"/>
      </w:numPr>
    </w:pPr>
  </w:style>
  <w:style w:type="paragraph" w:styleId="BodyText">
    <w:name w:val="Body Text"/>
    <w:basedOn w:val="Normal"/>
    <w:link w:val="BodyTextChar"/>
    <w:uiPriority w:val="1"/>
    <w:qFormat/>
    <w:rsid w:val="00AD4F79"/>
    <w:pPr>
      <w:spacing w:after="120"/>
      <w:jc w:val="both"/>
    </w:pPr>
  </w:style>
  <w:style w:type="character" w:customStyle="1" w:styleId="BodyTextChar">
    <w:name w:val="Body Text Char"/>
    <w:basedOn w:val="DefaultParagraphFont"/>
    <w:link w:val="BodyText"/>
    <w:uiPriority w:val="1"/>
    <w:rsid w:val="00AD4F79"/>
    <w:rPr>
      <w:sz w:val="22"/>
      <w:szCs w:val="22"/>
    </w:rPr>
  </w:style>
  <w:style w:type="paragraph" w:styleId="FootnoteText">
    <w:name w:val="footnote text"/>
    <w:basedOn w:val="Normal"/>
    <w:link w:val="FootnoteTextChar"/>
    <w:uiPriority w:val="29"/>
    <w:rsid w:val="00AD4F79"/>
    <w:pPr>
      <w:spacing w:line="240" w:lineRule="auto"/>
    </w:pPr>
    <w:rPr>
      <w:rFonts w:asciiTheme="majorHAnsi" w:hAnsiTheme="majorHAnsi"/>
      <w:sz w:val="14"/>
    </w:rPr>
  </w:style>
  <w:style w:type="character" w:customStyle="1" w:styleId="FootnoteTextChar">
    <w:name w:val="Footnote Text Char"/>
    <w:basedOn w:val="DefaultParagraphFont"/>
    <w:link w:val="FootnoteText"/>
    <w:uiPriority w:val="29"/>
    <w:rsid w:val="00AD4F79"/>
    <w:rPr>
      <w:rFonts w:asciiTheme="majorHAnsi" w:hAnsiTheme="majorHAnsi"/>
      <w:sz w:val="14"/>
      <w:szCs w:val="22"/>
    </w:rPr>
  </w:style>
  <w:style w:type="character" w:styleId="FootnoteReference">
    <w:name w:val="footnote reference"/>
    <w:basedOn w:val="DefaultParagraphFont"/>
    <w:uiPriority w:val="99"/>
    <w:semiHidden/>
    <w:unhideWhenUsed/>
    <w:rsid w:val="00AD4F79"/>
    <w:rPr>
      <w:vertAlign w:val="superscript"/>
    </w:rPr>
  </w:style>
  <w:style w:type="paragraph" w:customStyle="1" w:styleId="GreenLine">
    <w:name w:val="Green Line"/>
    <w:basedOn w:val="Normal"/>
    <w:next w:val="BodyText"/>
    <w:uiPriority w:val="23"/>
    <w:qFormat/>
    <w:rsid w:val="00AD4F79"/>
    <w:pPr>
      <w:pBdr>
        <w:bottom w:val="single" w:sz="8" w:space="1" w:color="78A22F" w:themeColor="accent1"/>
      </w:pBdr>
      <w:spacing w:after="240"/>
    </w:pPr>
    <w:rPr>
      <w:rFonts w:asciiTheme="majorHAnsi" w:hAnsiTheme="majorHAnsi"/>
      <w:color w:val="78A22F" w:themeColor="accent1"/>
    </w:rPr>
  </w:style>
  <w:style w:type="paragraph" w:customStyle="1" w:styleId="BodyTextIndented2">
    <w:name w:val="Body Text Indented 2"/>
    <w:basedOn w:val="BodyText"/>
    <w:uiPriority w:val="1"/>
    <w:rsid w:val="00AD4F79"/>
    <w:pPr>
      <w:ind w:left="284"/>
    </w:pPr>
  </w:style>
  <w:style w:type="table" w:styleId="TableGrid">
    <w:name w:val="Table Grid"/>
    <w:basedOn w:val="TableNormal"/>
    <w:uiPriority w:val="59"/>
    <w:rsid w:val="00AD4F7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ckCoverOffices">
    <w:name w:val="Back Cover Offices"/>
    <w:basedOn w:val="Normal"/>
    <w:uiPriority w:val="29"/>
    <w:rsid w:val="00AD4F79"/>
    <w:rPr>
      <w:rFonts w:asciiTheme="majorHAnsi" w:hAnsiTheme="majorHAnsi" w:cstheme="majorHAnsi"/>
      <w:b/>
      <w:color w:val="78A22F" w:themeColor="accent1"/>
    </w:rPr>
  </w:style>
  <w:style w:type="paragraph" w:customStyle="1" w:styleId="BackCoverNames">
    <w:name w:val="Back Cover Names"/>
    <w:basedOn w:val="Normal"/>
    <w:link w:val="BackCoverNamesChar"/>
    <w:uiPriority w:val="29"/>
    <w:rsid w:val="00AD4F79"/>
    <w:rPr>
      <w:b/>
      <w:color w:val="58595B" w:themeColor="text2"/>
    </w:rPr>
  </w:style>
  <w:style w:type="paragraph" w:customStyle="1" w:styleId="BackCoverURL">
    <w:name w:val="Back Cover URL"/>
    <w:basedOn w:val="BackCoverOffices"/>
    <w:uiPriority w:val="29"/>
    <w:rsid w:val="00AD4F79"/>
    <w:rPr>
      <w:b w:val="0"/>
    </w:rPr>
  </w:style>
  <w:style w:type="character" w:customStyle="1" w:styleId="BackCoverNamesChar">
    <w:name w:val="Back Cover Names Char"/>
    <w:basedOn w:val="DefaultParagraphFont"/>
    <w:link w:val="BackCoverNames"/>
    <w:uiPriority w:val="29"/>
    <w:rsid w:val="00AD4F79"/>
    <w:rPr>
      <w:b/>
      <w:color w:val="58595B" w:themeColor="text2"/>
      <w:sz w:val="22"/>
      <w:szCs w:val="22"/>
    </w:rPr>
  </w:style>
  <w:style w:type="paragraph" w:styleId="TOC1">
    <w:name w:val="toc 1"/>
    <w:basedOn w:val="Normal"/>
    <w:next w:val="Normal"/>
    <w:autoRedefine/>
    <w:uiPriority w:val="39"/>
    <w:rsid w:val="00AD4F79"/>
    <w:pPr>
      <w:spacing w:before="60" w:after="60" w:line="240" w:lineRule="auto"/>
    </w:pPr>
    <w:rPr>
      <w:rFonts w:asciiTheme="majorHAnsi" w:hAnsiTheme="majorHAnsi"/>
      <w:b/>
      <w:color w:val="78A22F" w:themeColor="accent1"/>
      <w:sz w:val="18"/>
    </w:rPr>
  </w:style>
  <w:style w:type="paragraph" w:styleId="TOC2">
    <w:name w:val="toc 2"/>
    <w:basedOn w:val="Normal"/>
    <w:next w:val="Normal"/>
    <w:autoRedefine/>
    <w:uiPriority w:val="39"/>
    <w:rsid w:val="00AD4F79"/>
    <w:pPr>
      <w:spacing w:line="240" w:lineRule="auto"/>
      <w:ind w:left="397" w:hanging="284"/>
    </w:pPr>
    <w:rPr>
      <w:rFonts w:asciiTheme="majorHAnsi" w:hAnsiTheme="majorHAnsi"/>
      <w:b/>
      <w:sz w:val="16"/>
    </w:rPr>
  </w:style>
  <w:style w:type="paragraph" w:styleId="TOC3">
    <w:name w:val="toc 3"/>
    <w:basedOn w:val="Normal"/>
    <w:next w:val="Normal"/>
    <w:autoRedefine/>
    <w:uiPriority w:val="39"/>
    <w:rsid w:val="00AD4F79"/>
    <w:pPr>
      <w:spacing w:line="240" w:lineRule="auto"/>
      <w:ind w:left="624" w:hanging="397"/>
    </w:pPr>
    <w:rPr>
      <w:sz w:val="16"/>
    </w:rPr>
  </w:style>
  <w:style w:type="paragraph" w:styleId="Quote">
    <w:name w:val="Quote"/>
    <w:basedOn w:val="Normal"/>
    <w:next w:val="Normal"/>
    <w:link w:val="QuoteChar"/>
    <w:uiPriority w:val="99"/>
    <w:semiHidden/>
    <w:qFormat/>
    <w:rsid w:val="00AD4F7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AD4F79"/>
    <w:rPr>
      <w:i/>
      <w:iCs/>
      <w:color w:val="404040" w:themeColor="text1" w:themeTint="BF"/>
      <w:sz w:val="22"/>
      <w:szCs w:val="22"/>
    </w:rPr>
  </w:style>
  <w:style w:type="paragraph" w:styleId="TOCHeading">
    <w:name w:val="TOC Heading"/>
    <w:basedOn w:val="Normal"/>
    <w:next w:val="Normal"/>
    <w:uiPriority w:val="24"/>
    <w:rsid w:val="00AD4F79"/>
    <w:pPr>
      <w:numPr>
        <w:numId w:val="34"/>
      </w:numPr>
      <w:pBdr>
        <w:bottom w:val="single" w:sz="8" w:space="1" w:color="78A22F" w:themeColor="accent1"/>
      </w:pBdr>
      <w:spacing w:after="240" w:line="360" w:lineRule="atLeast"/>
    </w:pPr>
    <w:rPr>
      <w:rFonts w:asciiTheme="majorHAnsi" w:hAnsiTheme="majorHAnsi"/>
      <w:color w:val="78A22F" w:themeColor="accent1"/>
      <w:sz w:val="32"/>
    </w:rPr>
  </w:style>
  <w:style w:type="paragraph" w:customStyle="1" w:styleId="Source">
    <w:name w:val="Source"/>
    <w:basedOn w:val="BodyText"/>
    <w:next w:val="BodyText"/>
    <w:uiPriority w:val="15"/>
    <w:qFormat/>
    <w:rsid w:val="00AD4F79"/>
    <w:pPr>
      <w:numPr>
        <w:numId w:val="22"/>
      </w:numPr>
      <w:jc w:val="right"/>
    </w:pPr>
    <w:rPr>
      <w:rFonts w:asciiTheme="majorHAnsi" w:hAnsiTheme="majorHAnsi"/>
      <w:i/>
      <w:color w:val="58595B" w:themeColor="text2"/>
      <w:sz w:val="16"/>
    </w:rPr>
  </w:style>
  <w:style w:type="numbering" w:customStyle="1" w:styleId="Sources">
    <w:name w:val="Sources"/>
    <w:uiPriority w:val="99"/>
    <w:rsid w:val="00AD4F79"/>
    <w:pPr>
      <w:numPr>
        <w:numId w:val="22"/>
      </w:numPr>
    </w:pPr>
  </w:style>
  <w:style w:type="paragraph" w:customStyle="1" w:styleId="Charts">
    <w:name w:val="Charts"/>
    <w:basedOn w:val="Normal"/>
    <w:next w:val="Source"/>
    <w:uiPriority w:val="14"/>
    <w:qFormat/>
    <w:rsid w:val="00AD4F79"/>
    <w:pPr>
      <w:spacing w:line="240" w:lineRule="auto"/>
    </w:pPr>
    <w:rPr>
      <w:noProof/>
    </w:rPr>
  </w:style>
  <w:style w:type="paragraph" w:customStyle="1" w:styleId="Pictures">
    <w:name w:val="Pictures"/>
    <w:basedOn w:val="BodyText"/>
    <w:next w:val="Source"/>
    <w:uiPriority w:val="14"/>
    <w:rsid w:val="00AD4F79"/>
  </w:style>
  <w:style w:type="paragraph" w:customStyle="1" w:styleId="Notes">
    <w:name w:val="Notes"/>
    <w:basedOn w:val="Normal"/>
    <w:next w:val="BodyText"/>
    <w:uiPriority w:val="17"/>
    <w:qFormat/>
    <w:rsid w:val="00AD4F79"/>
    <w:pPr>
      <w:spacing w:after="120"/>
    </w:pPr>
    <w:rPr>
      <w:b/>
      <w:sz w:val="16"/>
    </w:rPr>
  </w:style>
  <w:style w:type="paragraph" w:customStyle="1" w:styleId="SectionHeading">
    <w:name w:val="Section Heading"/>
    <w:basedOn w:val="BodyText"/>
    <w:next w:val="Level1"/>
    <w:uiPriority w:val="11"/>
    <w:qFormat/>
    <w:rsid w:val="00AD4F79"/>
    <w:pPr>
      <w:pBdr>
        <w:bottom w:val="single" w:sz="8" w:space="1" w:color="78A22F" w:themeColor="accent1"/>
      </w:pBdr>
      <w:spacing w:line="360" w:lineRule="atLeast"/>
      <w:jc w:val="left"/>
    </w:pPr>
    <w:rPr>
      <w:rFonts w:asciiTheme="majorHAnsi" w:hAnsiTheme="majorHAnsi"/>
      <w:color w:val="78A22F" w:themeColor="accent1"/>
      <w:sz w:val="32"/>
    </w:rPr>
  </w:style>
  <w:style w:type="paragraph" w:customStyle="1" w:styleId="BodyTextIndented1">
    <w:name w:val="Body Text Indented 1"/>
    <w:basedOn w:val="BodyText"/>
    <w:uiPriority w:val="1"/>
    <w:qFormat/>
    <w:rsid w:val="00AD4F79"/>
    <w:pPr>
      <w:ind w:left="567"/>
    </w:pPr>
  </w:style>
  <w:style w:type="paragraph" w:customStyle="1" w:styleId="CoverTitle">
    <w:name w:val="Cover Title"/>
    <w:basedOn w:val="BodyText"/>
    <w:next w:val="CoverSubtitle"/>
    <w:uiPriority w:val="25"/>
    <w:qFormat/>
    <w:rsid w:val="00AD4F79"/>
    <w:pPr>
      <w:spacing w:after="360" w:line="240" w:lineRule="auto"/>
      <w:jc w:val="left"/>
    </w:pPr>
    <w:rPr>
      <w:rFonts w:asciiTheme="majorHAnsi" w:hAnsiTheme="majorHAnsi"/>
      <w:b/>
      <w:color w:val="78A22F" w:themeColor="accent1"/>
      <w:sz w:val="72"/>
    </w:rPr>
  </w:style>
  <w:style w:type="paragraph" w:customStyle="1" w:styleId="BodyTextHighlight">
    <w:name w:val="Body Text Highlight"/>
    <w:basedOn w:val="BodyText"/>
    <w:next w:val="BodyText"/>
    <w:link w:val="BodyTextHighlightChar"/>
    <w:uiPriority w:val="7"/>
    <w:rsid w:val="00AD4F79"/>
    <w:rPr>
      <w:rFonts w:asciiTheme="majorHAnsi" w:hAnsiTheme="majorHAnsi" w:cstheme="majorHAnsi"/>
      <w:b/>
      <w:color w:val="58595B" w:themeColor="text2"/>
    </w:rPr>
  </w:style>
  <w:style w:type="paragraph" w:customStyle="1" w:styleId="NormalHighlight">
    <w:name w:val="Normal Highlight"/>
    <w:basedOn w:val="Normal"/>
    <w:next w:val="Normal"/>
    <w:link w:val="NormalHighlightChar"/>
    <w:uiPriority w:val="7"/>
    <w:qFormat/>
    <w:rsid w:val="00AD4F79"/>
    <w:rPr>
      <w:noProof/>
      <w:color w:val="78A22F" w:themeColor="accent1"/>
    </w:rPr>
  </w:style>
  <w:style w:type="paragraph" w:customStyle="1" w:styleId="Level1">
    <w:name w:val="Level 1"/>
    <w:basedOn w:val="BodyText"/>
    <w:next w:val="BodyTextIndented1"/>
    <w:uiPriority w:val="12"/>
    <w:qFormat/>
    <w:rsid w:val="00AD4F79"/>
    <w:pPr>
      <w:numPr>
        <w:ilvl w:val="1"/>
        <w:numId w:val="34"/>
      </w:numPr>
      <w:spacing w:before="60" w:after="60"/>
    </w:pPr>
    <w:rPr>
      <w:rFonts w:asciiTheme="majorHAnsi" w:hAnsiTheme="majorHAnsi"/>
      <w:b/>
      <w:color w:val="78A22F" w:themeColor="accent1"/>
    </w:rPr>
  </w:style>
  <w:style w:type="paragraph" w:customStyle="1" w:styleId="Level2">
    <w:name w:val="Level 2"/>
    <w:basedOn w:val="BodyText"/>
    <w:next w:val="BodyTextIndented1"/>
    <w:uiPriority w:val="12"/>
    <w:qFormat/>
    <w:rsid w:val="00AD4F79"/>
    <w:pPr>
      <w:numPr>
        <w:ilvl w:val="2"/>
        <w:numId w:val="34"/>
      </w:numPr>
      <w:spacing w:before="60" w:after="60"/>
    </w:pPr>
    <w:rPr>
      <w:rFonts w:asciiTheme="majorHAnsi" w:hAnsiTheme="majorHAnsi"/>
      <w:b/>
      <w:color w:val="58595B" w:themeColor="text2"/>
    </w:rPr>
  </w:style>
  <w:style w:type="paragraph" w:customStyle="1" w:styleId="Level3">
    <w:name w:val="Level 3"/>
    <w:basedOn w:val="BodyText"/>
    <w:next w:val="BodyTextIndented1"/>
    <w:uiPriority w:val="12"/>
    <w:rsid w:val="00AD4F79"/>
    <w:pPr>
      <w:numPr>
        <w:ilvl w:val="3"/>
        <w:numId w:val="34"/>
      </w:numPr>
      <w:spacing w:before="60" w:after="60"/>
    </w:pPr>
    <w:rPr>
      <w:rFonts w:asciiTheme="majorHAnsi" w:hAnsiTheme="majorHAnsi"/>
      <w:color w:val="58595B" w:themeColor="text2"/>
    </w:rPr>
  </w:style>
  <w:style w:type="paragraph" w:customStyle="1" w:styleId="Level4">
    <w:name w:val="Level 4"/>
    <w:basedOn w:val="BodyText"/>
    <w:next w:val="BodyTextIndented1"/>
    <w:uiPriority w:val="12"/>
    <w:rsid w:val="00AD4F79"/>
    <w:pPr>
      <w:numPr>
        <w:ilvl w:val="4"/>
        <w:numId w:val="34"/>
      </w:numPr>
      <w:spacing w:before="60" w:after="60"/>
    </w:pPr>
    <w:rPr>
      <w:rFonts w:asciiTheme="majorHAnsi" w:hAnsiTheme="majorHAnsi"/>
      <w:color w:val="58595B" w:themeColor="text2"/>
      <w:sz w:val="18"/>
    </w:rPr>
  </w:style>
  <w:style w:type="paragraph" w:customStyle="1" w:styleId="Level5">
    <w:name w:val="Level 5"/>
    <w:basedOn w:val="BodyText"/>
    <w:next w:val="BodyTextIndented1"/>
    <w:uiPriority w:val="12"/>
    <w:rsid w:val="00AD4F79"/>
    <w:pPr>
      <w:numPr>
        <w:ilvl w:val="5"/>
        <w:numId w:val="34"/>
      </w:numPr>
      <w:spacing w:before="60" w:after="60"/>
    </w:pPr>
    <w:rPr>
      <w:rFonts w:asciiTheme="majorHAnsi" w:hAnsiTheme="majorHAnsi"/>
      <w:sz w:val="18"/>
    </w:rPr>
  </w:style>
  <w:style w:type="paragraph" w:customStyle="1" w:styleId="CoverSubtitle">
    <w:name w:val="Cover Subtitle"/>
    <w:basedOn w:val="BodyText"/>
    <w:next w:val="CoverDate"/>
    <w:uiPriority w:val="26"/>
    <w:qFormat/>
    <w:rsid w:val="00AD4F79"/>
    <w:pPr>
      <w:spacing w:after="360"/>
      <w:jc w:val="left"/>
    </w:pPr>
    <w:rPr>
      <w:rFonts w:asciiTheme="majorHAnsi" w:hAnsiTheme="majorHAnsi"/>
      <w:sz w:val="52"/>
    </w:rPr>
  </w:style>
  <w:style w:type="paragraph" w:customStyle="1" w:styleId="CoverFooterHeading">
    <w:name w:val="Cover Footer Heading"/>
    <w:basedOn w:val="BodyText"/>
    <w:uiPriority w:val="29"/>
    <w:rsid w:val="00AD4F79"/>
    <w:pPr>
      <w:spacing w:after="0" w:line="220" w:lineRule="atLeast"/>
      <w:ind w:left="397"/>
      <w:jc w:val="left"/>
    </w:pPr>
    <w:rPr>
      <w:rFonts w:asciiTheme="majorHAnsi" w:hAnsiTheme="majorHAnsi"/>
      <w:color w:val="78A22F" w:themeColor="accent1"/>
    </w:rPr>
  </w:style>
  <w:style w:type="paragraph" w:customStyle="1" w:styleId="BodyTextBold">
    <w:name w:val="Body Text Bold"/>
    <w:basedOn w:val="BodyText"/>
    <w:next w:val="BodyText"/>
    <w:link w:val="BodyTextBoldChar"/>
    <w:uiPriority w:val="1"/>
    <w:qFormat/>
    <w:rsid w:val="00AD4F79"/>
    <w:rPr>
      <w:b/>
      <w:noProof/>
    </w:rPr>
  </w:style>
  <w:style w:type="paragraph" w:styleId="Date">
    <w:name w:val="Date"/>
    <w:basedOn w:val="CoverDate"/>
    <w:next w:val="Heading1"/>
    <w:link w:val="DateChar"/>
    <w:uiPriority w:val="10"/>
    <w:qFormat/>
    <w:rsid w:val="00AD4F79"/>
    <w:pPr>
      <w:pBdr>
        <w:bottom w:val="single" w:sz="8" w:space="5" w:color="78A22F" w:themeColor="accent1"/>
      </w:pBdr>
      <w:spacing w:before="0" w:after="240"/>
    </w:pPr>
    <w:rPr>
      <w:rFonts w:asciiTheme="minorHAnsi" w:hAnsiTheme="minorHAnsi"/>
      <w:sz w:val="22"/>
    </w:rPr>
  </w:style>
  <w:style w:type="character" w:customStyle="1" w:styleId="DateChar">
    <w:name w:val="Date Char"/>
    <w:basedOn w:val="DefaultParagraphFont"/>
    <w:link w:val="Date"/>
    <w:uiPriority w:val="10"/>
    <w:rsid w:val="00AD4F79"/>
    <w:rPr>
      <w:sz w:val="22"/>
      <w:szCs w:val="22"/>
    </w:rPr>
  </w:style>
  <w:style w:type="paragraph" w:customStyle="1" w:styleId="Subject3">
    <w:name w:val="Subject3"/>
    <w:basedOn w:val="BodyText"/>
    <w:next w:val="BodyTextIndented2"/>
    <w:uiPriority w:val="13"/>
    <w:rsid w:val="00AD4F79"/>
    <w:pPr>
      <w:spacing w:before="60" w:after="60"/>
    </w:pPr>
    <w:rPr>
      <w:rFonts w:asciiTheme="majorHAnsi" w:hAnsiTheme="majorHAnsi"/>
      <w:color w:val="58595B" w:themeColor="text2"/>
    </w:rPr>
  </w:style>
  <w:style w:type="paragraph" w:customStyle="1" w:styleId="Reportheader">
    <w:name w:val="Report header"/>
    <w:basedOn w:val="Header"/>
    <w:uiPriority w:val="29"/>
    <w:rsid w:val="00AD4F79"/>
    <w:rPr>
      <w:b/>
      <w:color w:val="78A22F" w:themeColor="accent1"/>
      <w:sz w:val="22"/>
    </w:rPr>
  </w:style>
  <w:style w:type="paragraph" w:customStyle="1" w:styleId="CoverDate">
    <w:name w:val="Cover Date"/>
    <w:basedOn w:val="Normal"/>
    <w:next w:val="BodyText"/>
    <w:uiPriority w:val="27"/>
    <w:qFormat/>
    <w:rsid w:val="00AD4F79"/>
    <w:pPr>
      <w:spacing w:before="120" w:after="120"/>
    </w:pPr>
    <w:rPr>
      <w:rFonts w:asciiTheme="majorHAnsi" w:hAnsiTheme="majorHAnsi"/>
      <w:sz w:val="36"/>
    </w:rPr>
  </w:style>
  <w:style w:type="paragraph" w:customStyle="1" w:styleId="NormalBold">
    <w:name w:val="Normal Bold"/>
    <w:basedOn w:val="Normal"/>
    <w:next w:val="Normal"/>
    <w:uiPriority w:val="5"/>
    <w:qFormat/>
    <w:rsid w:val="00AD4F79"/>
    <w:rPr>
      <w:b/>
    </w:rPr>
  </w:style>
  <w:style w:type="character" w:customStyle="1" w:styleId="NormalHighlightChar">
    <w:name w:val="Normal Highlight Char"/>
    <w:basedOn w:val="DefaultParagraphFont"/>
    <w:link w:val="NormalHighlight"/>
    <w:uiPriority w:val="7"/>
    <w:rsid w:val="00AD4F79"/>
    <w:rPr>
      <w:noProof/>
      <w:color w:val="78A22F" w:themeColor="accent1"/>
      <w:sz w:val="22"/>
      <w:szCs w:val="22"/>
    </w:rPr>
  </w:style>
  <w:style w:type="character" w:customStyle="1" w:styleId="BodyTextBoldChar">
    <w:name w:val="Body Text Bold Char"/>
    <w:basedOn w:val="BodyTextChar"/>
    <w:link w:val="BodyTextBold"/>
    <w:uiPriority w:val="1"/>
    <w:rsid w:val="00AD4F79"/>
    <w:rPr>
      <w:b/>
      <w:noProof/>
      <w:sz w:val="22"/>
      <w:szCs w:val="22"/>
    </w:rPr>
  </w:style>
  <w:style w:type="character" w:customStyle="1" w:styleId="BodyTextHighlightChar">
    <w:name w:val="Body Text Highlight Char"/>
    <w:basedOn w:val="BodyTextChar"/>
    <w:link w:val="BodyTextHighlight"/>
    <w:uiPriority w:val="7"/>
    <w:rsid w:val="00AD4F79"/>
    <w:rPr>
      <w:rFonts w:asciiTheme="majorHAnsi" w:hAnsiTheme="majorHAnsi" w:cstheme="majorHAnsi"/>
      <w:b/>
      <w:color w:val="58595B" w:themeColor="text2"/>
      <w:sz w:val="22"/>
      <w:szCs w:val="22"/>
    </w:rPr>
  </w:style>
  <w:style w:type="paragraph" w:customStyle="1" w:styleId="AFMEPagenumber">
    <w:name w:val="AFME Page number"/>
    <w:basedOn w:val="Footer"/>
    <w:uiPriority w:val="29"/>
    <w:qFormat/>
    <w:rsid w:val="00AD4F79"/>
    <w:pPr>
      <w:ind w:right="0"/>
      <w:jc w:val="right"/>
    </w:pPr>
    <w:rPr>
      <w:b/>
    </w:rPr>
  </w:style>
  <w:style w:type="paragraph" w:customStyle="1" w:styleId="AFMEFullName">
    <w:name w:val="AFME Full Name"/>
    <w:basedOn w:val="BodyTextBold"/>
    <w:uiPriority w:val="29"/>
    <w:qFormat/>
    <w:rsid w:val="00AD4F79"/>
    <w:pPr>
      <w:spacing w:before="400" w:after="0"/>
      <w:jc w:val="right"/>
    </w:pPr>
    <w:rPr>
      <w:sz w:val="18"/>
      <w:szCs w:val="18"/>
    </w:rPr>
  </w:style>
  <w:style w:type="paragraph" w:customStyle="1" w:styleId="AFMEContactEmail">
    <w:name w:val="AFME Contact Email"/>
    <w:basedOn w:val="NormalHighlight"/>
    <w:next w:val="Normal"/>
    <w:uiPriority w:val="28"/>
    <w:qFormat/>
    <w:rsid w:val="00AD4F79"/>
    <w:pPr>
      <w:spacing w:before="120" w:after="120"/>
    </w:pPr>
  </w:style>
  <w:style w:type="paragraph" w:customStyle="1" w:styleId="FooterLegal-letter">
    <w:name w:val="Footer Legal -  letter"/>
    <w:basedOn w:val="FooterOffices"/>
    <w:uiPriority w:val="29"/>
    <w:rsid w:val="00AD4F79"/>
    <w:pPr>
      <w:spacing w:line="180" w:lineRule="atLeast"/>
      <w:ind w:left="-794"/>
    </w:pPr>
    <w:rPr>
      <w:sz w:val="14"/>
    </w:rPr>
  </w:style>
  <w:style w:type="paragraph" w:customStyle="1" w:styleId="FooterHeading-letter">
    <w:name w:val="Footer Heading - letter"/>
    <w:basedOn w:val="FooterHeading"/>
    <w:uiPriority w:val="29"/>
    <w:qFormat/>
    <w:rsid w:val="00AD4F79"/>
    <w:pPr>
      <w:ind w:left="-794"/>
    </w:pPr>
  </w:style>
  <w:style w:type="paragraph" w:customStyle="1" w:styleId="FooterOffices-letter">
    <w:name w:val="Footer Offices - letter"/>
    <w:basedOn w:val="FooterOffices"/>
    <w:uiPriority w:val="29"/>
    <w:qFormat/>
    <w:rsid w:val="00AD4F79"/>
    <w:pPr>
      <w:ind w:left="-794"/>
    </w:pPr>
  </w:style>
  <w:style w:type="character" w:styleId="UnresolvedMention">
    <w:name w:val="Unresolved Mention"/>
    <w:basedOn w:val="DefaultParagraphFont"/>
    <w:uiPriority w:val="99"/>
    <w:semiHidden/>
    <w:unhideWhenUsed/>
    <w:rsid w:val="00F1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15339">
      <w:bodyDiv w:val="1"/>
      <w:marLeft w:val="0"/>
      <w:marRight w:val="0"/>
      <w:marTop w:val="0"/>
      <w:marBottom w:val="0"/>
      <w:divBdr>
        <w:top w:val="none" w:sz="0" w:space="0" w:color="auto"/>
        <w:left w:val="none" w:sz="0" w:space="0" w:color="auto"/>
        <w:bottom w:val="none" w:sz="0" w:space="0" w:color="auto"/>
        <w:right w:val="none" w:sz="0" w:space="0" w:color="auto"/>
      </w:divBdr>
    </w:div>
    <w:div w:id="1090588163">
      <w:bodyDiv w:val="1"/>
      <w:marLeft w:val="0"/>
      <w:marRight w:val="0"/>
      <w:marTop w:val="0"/>
      <w:marBottom w:val="0"/>
      <w:divBdr>
        <w:top w:val="none" w:sz="0" w:space="0" w:color="auto"/>
        <w:left w:val="none" w:sz="0" w:space="0" w:color="auto"/>
        <w:bottom w:val="none" w:sz="0" w:space="0" w:color="auto"/>
        <w:right w:val="none" w:sz="0" w:space="0" w:color="auto"/>
      </w:divBdr>
    </w:div>
    <w:div w:id="1190602703">
      <w:bodyDiv w:val="1"/>
      <w:marLeft w:val="0"/>
      <w:marRight w:val="0"/>
      <w:marTop w:val="0"/>
      <w:marBottom w:val="0"/>
      <w:divBdr>
        <w:top w:val="none" w:sz="0" w:space="0" w:color="auto"/>
        <w:left w:val="none" w:sz="0" w:space="0" w:color="auto"/>
        <w:bottom w:val="none" w:sz="0" w:space="0" w:color="auto"/>
        <w:right w:val="none" w:sz="0" w:space="0" w:color="auto"/>
      </w:divBdr>
    </w:div>
    <w:div w:id="15527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package" Target="embeddings/Microsoft_Excel_Worksheet2.xls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ma.europa.eu/sites/default/files/library/esma74-362-893_qas_on_sftr_data_reporting.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Excel_Worksheet1.xls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AFME">
  <a:themeElements>
    <a:clrScheme name="AFME">
      <a:dk1>
        <a:sysClr val="windowText" lastClr="000000"/>
      </a:dk1>
      <a:lt1>
        <a:sysClr val="window" lastClr="FFFFFF"/>
      </a:lt1>
      <a:dk2>
        <a:srgbClr val="58595B"/>
      </a:dk2>
      <a:lt2>
        <a:srgbClr val="CFD0D2"/>
      </a:lt2>
      <a:accent1>
        <a:srgbClr val="78A22F"/>
      </a:accent1>
      <a:accent2>
        <a:srgbClr val="C9DAAC"/>
      </a:accent2>
      <a:accent3>
        <a:srgbClr val="CFD0D2"/>
      </a:accent3>
      <a:accent4>
        <a:srgbClr val="A7A9AC"/>
      </a:accent4>
      <a:accent5>
        <a:srgbClr val="808285"/>
      </a:accent5>
      <a:accent6>
        <a:srgbClr val="58595B"/>
      </a:accent6>
      <a:hlink>
        <a:srgbClr val="0000FF"/>
      </a:hlink>
      <a:folHlink>
        <a:srgbClr val="800080"/>
      </a:folHlink>
    </a:clrScheme>
    <a:fontScheme name="AFME">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AFME" id="{46E60531-B48E-4EE8-9BA3-C3F6A6429AB7}" vid="{DFAD1022-53B1-402F-87A4-C9D8E056B10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1C20DF65959C419DCF354BED6D0659" ma:contentTypeVersion="6" ma:contentTypeDescription="Create a new document." ma:contentTypeScope="" ma:versionID="b213249afa2ced934db78d3d64bfc3c4">
  <xsd:schema xmlns:xsd="http://www.w3.org/2001/XMLSchema" xmlns:xs="http://www.w3.org/2001/XMLSchema" xmlns:p="http://schemas.microsoft.com/office/2006/metadata/properties" xmlns:ns2="73525f0d-1972-444b-bb03-4beefa6a8dd9" xmlns:ns3="c77ec181-6fae-4e7c-989d-92172d3be6e9" targetNamespace="http://schemas.microsoft.com/office/2006/metadata/properties" ma:root="true" ma:fieldsID="d9966f4e77e73bd2631869de31fb6e21" ns2:_="" ns3:_="">
    <xsd:import namespace="73525f0d-1972-444b-bb03-4beefa6a8dd9"/>
    <xsd:import namespace="c77ec181-6fae-4e7c-989d-92172d3be6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25f0d-1972-444b-bb03-4beefa6a8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7ec181-6fae-4e7c-989d-92172d3be6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DEE4B7-5D25-40DD-9E52-921813CDB7FE}">
  <ds:schemaRefs>
    <ds:schemaRef ds:uri="http://schemas.microsoft.com/sharepoint/v3/contenttype/forms"/>
  </ds:schemaRefs>
</ds:datastoreItem>
</file>

<file path=customXml/itemProps2.xml><?xml version="1.0" encoding="utf-8"?>
<ds:datastoreItem xmlns:ds="http://schemas.openxmlformats.org/officeDocument/2006/customXml" ds:itemID="{8EEF6A65-9971-4E8E-87E0-4F7B04F0B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25f0d-1972-444b-bb03-4beefa6a8dd9"/>
    <ds:schemaRef ds:uri="c77ec181-6fae-4e7c-989d-92172d3be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88E206-E54E-422C-A95D-A1402AEBCBF1}">
  <ds:schemaRefs>
    <ds:schemaRef ds:uri="http://schemas.openxmlformats.org/officeDocument/2006/bibliography"/>
  </ds:schemaRefs>
</ds:datastoreItem>
</file>

<file path=customXml/itemProps4.xml><?xml version="1.0" encoding="utf-8"?>
<ds:datastoreItem xmlns:ds="http://schemas.openxmlformats.org/officeDocument/2006/customXml" ds:itemID="{2BC850F2-F1EE-4D90-A21D-F538835A1BF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Capgemini UK plc</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Parkes, Claire</dc:creator>
  <cp:lastModifiedBy>Tomlinson, Peter</cp:lastModifiedBy>
  <cp:revision>10</cp:revision>
  <cp:lastPrinted>2014-02-28T12:16:00Z</cp:lastPrinted>
  <dcterms:created xsi:type="dcterms:W3CDTF">2021-06-01T07:31:00Z</dcterms:created>
  <dcterms:modified xsi:type="dcterms:W3CDTF">2021-06-18T12:59:00Z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0x0101002B1C20DF65959C419DCF354BED6D0659</vt:lpwstr>
  </property>
  <property fmtid="{D5CDD505-2E9C-101B-9397-08002B2CF9AE}" pid="3" name="Order">
    <vt:r8>42400</vt:r8>
  </property>
</Properties>
</file>