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83BB" w14:textId="77777777" w:rsidR="00C52843" w:rsidRDefault="000054FE">
      <w:pPr>
        <w:pStyle w:val="Title"/>
      </w:pPr>
      <w:r>
        <w:t>Italian</w:t>
      </w:r>
      <w:r>
        <w:rPr>
          <w:spacing w:val="-7"/>
        </w:rPr>
        <w:t xml:space="preserve"> </w:t>
      </w:r>
      <w:r>
        <w:t>Financial</w:t>
      </w:r>
      <w:r>
        <w:rPr>
          <w:spacing w:val="-5"/>
        </w:rPr>
        <w:t xml:space="preserve"> </w:t>
      </w:r>
      <w:r>
        <w:t>Transaction</w:t>
      </w:r>
      <w:r>
        <w:rPr>
          <w:spacing w:val="-7"/>
        </w:rPr>
        <w:t xml:space="preserve"> </w:t>
      </w:r>
      <w:r>
        <w:t>Tax</w:t>
      </w:r>
      <w:r>
        <w:rPr>
          <w:spacing w:val="-1"/>
        </w:rPr>
        <w:t xml:space="preserve"> </w:t>
      </w:r>
      <w:r>
        <w:t>–</w:t>
      </w:r>
      <w:r>
        <w:rPr>
          <w:spacing w:val="-4"/>
        </w:rPr>
        <w:t xml:space="preserve"> </w:t>
      </w:r>
      <w:r>
        <w:t>Exemption</w:t>
      </w:r>
      <w:r>
        <w:rPr>
          <w:spacing w:val="-5"/>
        </w:rPr>
        <w:t xml:space="preserve"> </w:t>
      </w:r>
      <w:r>
        <w:t>Application</w:t>
      </w:r>
      <w:r>
        <w:rPr>
          <w:spacing w:val="-7"/>
        </w:rPr>
        <w:t xml:space="preserve"> </w:t>
      </w:r>
      <w:r>
        <w:t>Form Article 19, par. 3, of the Treasury Decree 21 February 2013</w:t>
      </w:r>
    </w:p>
    <w:p w14:paraId="448EF69C" w14:textId="77777777" w:rsidR="00A541C9" w:rsidRDefault="00A541C9">
      <w:pPr>
        <w:pStyle w:val="Title"/>
      </w:pPr>
    </w:p>
    <w:p w14:paraId="1F1E83BC" w14:textId="77777777" w:rsidR="00C52843" w:rsidRDefault="00C52843">
      <w:pPr>
        <w:pStyle w:val="BodyText"/>
        <w:spacing w:before="2"/>
        <w:rPr>
          <w:b/>
          <w:sz w:val="8"/>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1"/>
        <w:gridCol w:w="2409"/>
        <w:gridCol w:w="1731"/>
        <w:gridCol w:w="2046"/>
        <w:gridCol w:w="2340"/>
      </w:tblGrid>
      <w:tr w:rsidR="00C52843" w14:paraId="1F1E83BF" w14:textId="77777777">
        <w:trPr>
          <w:trHeight w:val="556"/>
        </w:trPr>
        <w:tc>
          <w:tcPr>
            <w:tcW w:w="1561" w:type="dxa"/>
          </w:tcPr>
          <w:p w14:paraId="1F1E83BD" w14:textId="77777777" w:rsidR="00C52843" w:rsidRDefault="000054FE">
            <w:pPr>
              <w:pStyle w:val="TableParagraph"/>
              <w:spacing w:before="1"/>
              <w:rPr>
                <w:b/>
                <w:sz w:val="16"/>
              </w:rPr>
            </w:pPr>
            <w:r>
              <w:rPr>
                <w:b/>
                <w:sz w:val="16"/>
              </w:rPr>
              <w:t>Section</w:t>
            </w:r>
            <w:r>
              <w:rPr>
                <w:b/>
                <w:spacing w:val="-5"/>
                <w:sz w:val="16"/>
              </w:rPr>
              <w:t xml:space="preserve"> </w:t>
            </w:r>
            <w:r>
              <w:rPr>
                <w:b/>
                <w:spacing w:val="-10"/>
                <w:sz w:val="16"/>
              </w:rPr>
              <w:t>I</w:t>
            </w:r>
          </w:p>
        </w:tc>
        <w:tc>
          <w:tcPr>
            <w:tcW w:w="8526" w:type="dxa"/>
            <w:gridSpan w:val="4"/>
            <w:shd w:val="clear" w:color="auto" w:fill="E4E4E4"/>
          </w:tcPr>
          <w:p w14:paraId="1F1E83BE" w14:textId="77777777" w:rsidR="00C52843" w:rsidRDefault="000054FE">
            <w:pPr>
              <w:pStyle w:val="TableParagraph"/>
              <w:spacing w:before="1"/>
              <w:rPr>
                <w:b/>
                <w:sz w:val="16"/>
              </w:rPr>
            </w:pPr>
            <w:r>
              <w:rPr>
                <w:b/>
                <w:sz w:val="16"/>
              </w:rPr>
              <w:t>ADDRESSEE</w:t>
            </w:r>
            <w:r>
              <w:rPr>
                <w:b/>
                <w:spacing w:val="2"/>
                <w:sz w:val="16"/>
              </w:rPr>
              <w:t xml:space="preserve"> </w:t>
            </w:r>
            <w:r>
              <w:rPr>
                <w:b/>
                <w:spacing w:val="-2"/>
                <w:sz w:val="16"/>
              </w:rPr>
              <w:t>DETAILS</w:t>
            </w:r>
          </w:p>
        </w:tc>
      </w:tr>
      <w:tr w:rsidR="00C52843" w14:paraId="1F1E83C1" w14:textId="77777777">
        <w:trPr>
          <w:trHeight w:val="557"/>
        </w:trPr>
        <w:tc>
          <w:tcPr>
            <w:tcW w:w="10087" w:type="dxa"/>
            <w:gridSpan w:val="5"/>
          </w:tcPr>
          <w:p w14:paraId="1F1E83C0" w14:textId="77777777" w:rsidR="00C52843" w:rsidRDefault="000054FE">
            <w:pPr>
              <w:pStyle w:val="TableParagraph"/>
              <w:spacing w:before="2"/>
              <w:rPr>
                <w:sz w:val="12"/>
              </w:rPr>
            </w:pPr>
            <w:r>
              <w:rPr>
                <w:sz w:val="12"/>
              </w:rPr>
              <w:t>Broker</w:t>
            </w:r>
            <w:r>
              <w:rPr>
                <w:spacing w:val="-1"/>
                <w:sz w:val="12"/>
              </w:rPr>
              <w:t xml:space="preserve"> </w:t>
            </w:r>
            <w:r>
              <w:rPr>
                <w:sz w:val="12"/>
              </w:rPr>
              <w:t>Name</w:t>
            </w:r>
            <w:r>
              <w:rPr>
                <w:spacing w:val="-2"/>
                <w:sz w:val="12"/>
              </w:rPr>
              <w:t xml:space="preserve"> </w:t>
            </w:r>
            <w:r>
              <w:rPr>
                <w:spacing w:val="-5"/>
                <w:sz w:val="12"/>
              </w:rPr>
              <w:t>(1)</w:t>
            </w:r>
          </w:p>
        </w:tc>
      </w:tr>
      <w:tr w:rsidR="00C52843" w14:paraId="1F1E83C4" w14:textId="77777777">
        <w:trPr>
          <w:trHeight w:val="556"/>
        </w:trPr>
        <w:tc>
          <w:tcPr>
            <w:tcW w:w="1561" w:type="dxa"/>
          </w:tcPr>
          <w:p w14:paraId="1F1E83C2" w14:textId="77777777" w:rsidR="00C52843" w:rsidRDefault="000054FE">
            <w:pPr>
              <w:pStyle w:val="TableParagraph"/>
              <w:spacing w:before="1"/>
              <w:rPr>
                <w:b/>
                <w:sz w:val="16"/>
              </w:rPr>
            </w:pPr>
            <w:r>
              <w:rPr>
                <w:b/>
                <w:sz w:val="16"/>
              </w:rPr>
              <w:t>Section</w:t>
            </w:r>
            <w:r>
              <w:rPr>
                <w:b/>
                <w:spacing w:val="-5"/>
                <w:sz w:val="16"/>
              </w:rPr>
              <w:t xml:space="preserve"> II</w:t>
            </w:r>
          </w:p>
        </w:tc>
        <w:tc>
          <w:tcPr>
            <w:tcW w:w="8526" w:type="dxa"/>
            <w:gridSpan w:val="4"/>
            <w:shd w:val="clear" w:color="auto" w:fill="E4E4E4"/>
          </w:tcPr>
          <w:p w14:paraId="1F1E83C3" w14:textId="77777777" w:rsidR="00C52843" w:rsidRDefault="000054FE">
            <w:pPr>
              <w:pStyle w:val="TableParagraph"/>
              <w:spacing w:before="1"/>
              <w:rPr>
                <w:b/>
                <w:sz w:val="16"/>
              </w:rPr>
            </w:pPr>
            <w:r>
              <w:rPr>
                <w:b/>
                <w:sz w:val="16"/>
              </w:rPr>
              <w:t>ENTITY</w:t>
            </w:r>
            <w:r>
              <w:rPr>
                <w:b/>
                <w:spacing w:val="-2"/>
                <w:sz w:val="16"/>
              </w:rPr>
              <w:t xml:space="preserve"> DETAILS</w:t>
            </w:r>
          </w:p>
        </w:tc>
      </w:tr>
      <w:tr w:rsidR="00C52843" w14:paraId="1F1E83C6" w14:textId="77777777">
        <w:trPr>
          <w:trHeight w:val="945"/>
        </w:trPr>
        <w:tc>
          <w:tcPr>
            <w:tcW w:w="10087" w:type="dxa"/>
            <w:gridSpan w:val="5"/>
          </w:tcPr>
          <w:p w14:paraId="1F1E83C5" w14:textId="77777777" w:rsidR="00C52843" w:rsidRDefault="000054FE">
            <w:pPr>
              <w:pStyle w:val="TableParagraph"/>
              <w:spacing w:before="2"/>
              <w:rPr>
                <w:sz w:val="12"/>
              </w:rPr>
            </w:pPr>
            <w:r>
              <w:rPr>
                <w:sz w:val="12"/>
              </w:rPr>
              <w:t>Legal</w:t>
            </w:r>
            <w:r>
              <w:rPr>
                <w:spacing w:val="-3"/>
                <w:sz w:val="12"/>
              </w:rPr>
              <w:t xml:space="preserve"> </w:t>
            </w:r>
            <w:r>
              <w:rPr>
                <w:sz w:val="12"/>
              </w:rPr>
              <w:t>Entity</w:t>
            </w:r>
            <w:r>
              <w:rPr>
                <w:spacing w:val="-2"/>
                <w:sz w:val="12"/>
              </w:rPr>
              <w:t xml:space="preserve"> </w:t>
            </w:r>
            <w:r>
              <w:rPr>
                <w:sz w:val="12"/>
              </w:rPr>
              <w:t>Name</w:t>
            </w:r>
            <w:r>
              <w:rPr>
                <w:spacing w:val="-3"/>
                <w:sz w:val="12"/>
              </w:rPr>
              <w:t xml:space="preserve"> </w:t>
            </w:r>
            <w:r>
              <w:rPr>
                <w:sz w:val="12"/>
              </w:rPr>
              <w:t>or</w:t>
            </w:r>
            <w:r>
              <w:rPr>
                <w:spacing w:val="-1"/>
                <w:sz w:val="12"/>
              </w:rPr>
              <w:t xml:space="preserve"> </w:t>
            </w:r>
            <w:r>
              <w:rPr>
                <w:sz w:val="12"/>
              </w:rPr>
              <w:t>account</w:t>
            </w:r>
            <w:r>
              <w:rPr>
                <w:spacing w:val="-3"/>
                <w:sz w:val="12"/>
              </w:rPr>
              <w:t xml:space="preserve"> </w:t>
            </w:r>
            <w:r>
              <w:rPr>
                <w:sz w:val="12"/>
              </w:rPr>
              <w:t>number(s)</w:t>
            </w:r>
            <w:r>
              <w:rPr>
                <w:spacing w:val="28"/>
                <w:sz w:val="12"/>
              </w:rPr>
              <w:t xml:space="preserve"> </w:t>
            </w:r>
            <w:r>
              <w:rPr>
                <w:spacing w:val="-5"/>
                <w:sz w:val="12"/>
              </w:rPr>
              <w:t>(2)</w:t>
            </w:r>
          </w:p>
        </w:tc>
      </w:tr>
      <w:tr w:rsidR="00C52843" w14:paraId="1F1E83C9" w14:textId="77777777">
        <w:trPr>
          <w:trHeight w:val="445"/>
        </w:trPr>
        <w:tc>
          <w:tcPr>
            <w:tcW w:w="7747" w:type="dxa"/>
            <w:gridSpan w:val="4"/>
          </w:tcPr>
          <w:p w14:paraId="1F1E83C7" w14:textId="77777777" w:rsidR="00C52843" w:rsidRDefault="000054FE">
            <w:pPr>
              <w:pStyle w:val="TableParagraph"/>
              <w:spacing w:before="2"/>
              <w:rPr>
                <w:sz w:val="12"/>
              </w:rPr>
            </w:pPr>
            <w:r>
              <w:rPr>
                <w:sz w:val="12"/>
              </w:rPr>
              <w:t>Registered</w:t>
            </w:r>
            <w:r>
              <w:rPr>
                <w:spacing w:val="-4"/>
                <w:sz w:val="12"/>
              </w:rPr>
              <w:t xml:space="preserve"> </w:t>
            </w:r>
            <w:r>
              <w:rPr>
                <w:sz w:val="12"/>
              </w:rPr>
              <w:t>Address</w:t>
            </w:r>
            <w:r>
              <w:rPr>
                <w:spacing w:val="-1"/>
                <w:sz w:val="12"/>
              </w:rPr>
              <w:t xml:space="preserve"> </w:t>
            </w:r>
            <w:r>
              <w:rPr>
                <w:spacing w:val="-5"/>
                <w:sz w:val="12"/>
              </w:rPr>
              <w:t>(3)</w:t>
            </w:r>
          </w:p>
        </w:tc>
        <w:tc>
          <w:tcPr>
            <w:tcW w:w="2340" w:type="dxa"/>
          </w:tcPr>
          <w:p w14:paraId="1F1E83C8" w14:textId="77777777" w:rsidR="00C52843" w:rsidRDefault="000054FE">
            <w:pPr>
              <w:pStyle w:val="TableParagraph"/>
              <w:spacing w:before="2"/>
              <w:ind w:left="103"/>
              <w:rPr>
                <w:sz w:val="12"/>
              </w:rPr>
            </w:pPr>
            <w:r>
              <w:rPr>
                <w:sz w:val="12"/>
              </w:rPr>
              <w:t>Postal</w:t>
            </w:r>
            <w:r>
              <w:rPr>
                <w:spacing w:val="-1"/>
                <w:sz w:val="12"/>
              </w:rPr>
              <w:t xml:space="preserve"> </w:t>
            </w:r>
            <w:r>
              <w:rPr>
                <w:sz w:val="12"/>
              </w:rPr>
              <w:t>Code</w:t>
            </w:r>
            <w:r>
              <w:rPr>
                <w:spacing w:val="-1"/>
                <w:sz w:val="12"/>
              </w:rPr>
              <w:t xml:space="preserve"> </w:t>
            </w:r>
            <w:r>
              <w:rPr>
                <w:spacing w:val="-5"/>
                <w:sz w:val="12"/>
              </w:rPr>
              <w:t>(3)</w:t>
            </w:r>
          </w:p>
        </w:tc>
      </w:tr>
      <w:tr w:rsidR="00C52843" w14:paraId="1F1E83CD" w14:textId="77777777">
        <w:trPr>
          <w:trHeight w:val="429"/>
        </w:trPr>
        <w:tc>
          <w:tcPr>
            <w:tcW w:w="3970" w:type="dxa"/>
            <w:gridSpan w:val="2"/>
          </w:tcPr>
          <w:p w14:paraId="1F1E83CA" w14:textId="77777777" w:rsidR="00C52843" w:rsidRDefault="000054FE">
            <w:pPr>
              <w:pStyle w:val="TableParagraph"/>
              <w:spacing w:before="2"/>
              <w:rPr>
                <w:sz w:val="12"/>
              </w:rPr>
            </w:pPr>
            <w:r>
              <w:rPr>
                <w:sz w:val="12"/>
              </w:rPr>
              <w:t>City</w:t>
            </w:r>
            <w:r>
              <w:rPr>
                <w:spacing w:val="-3"/>
                <w:sz w:val="12"/>
              </w:rPr>
              <w:t xml:space="preserve"> </w:t>
            </w:r>
            <w:r>
              <w:rPr>
                <w:spacing w:val="-5"/>
                <w:sz w:val="12"/>
              </w:rPr>
              <w:t>(3)</w:t>
            </w:r>
          </w:p>
        </w:tc>
        <w:tc>
          <w:tcPr>
            <w:tcW w:w="3777" w:type="dxa"/>
            <w:gridSpan w:val="2"/>
          </w:tcPr>
          <w:p w14:paraId="1F1E83CB" w14:textId="77777777" w:rsidR="00C52843" w:rsidRDefault="000054FE">
            <w:pPr>
              <w:pStyle w:val="TableParagraph"/>
              <w:spacing w:before="2"/>
              <w:ind w:left="107"/>
              <w:rPr>
                <w:sz w:val="12"/>
              </w:rPr>
            </w:pPr>
            <w:r>
              <w:rPr>
                <w:sz w:val="12"/>
              </w:rPr>
              <w:t>Country</w:t>
            </w:r>
            <w:r>
              <w:rPr>
                <w:spacing w:val="-1"/>
                <w:sz w:val="12"/>
              </w:rPr>
              <w:t xml:space="preserve"> </w:t>
            </w:r>
            <w:r>
              <w:rPr>
                <w:spacing w:val="-5"/>
                <w:sz w:val="12"/>
              </w:rPr>
              <w:t>(3)</w:t>
            </w:r>
          </w:p>
        </w:tc>
        <w:tc>
          <w:tcPr>
            <w:tcW w:w="2340" w:type="dxa"/>
            <w:shd w:val="clear" w:color="auto" w:fill="DFDFDF"/>
          </w:tcPr>
          <w:p w14:paraId="1F1E83CC" w14:textId="77777777" w:rsidR="00C52843" w:rsidRDefault="00C52843">
            <w:pPr>
              <w:pStyle w:val="TableParagraph"/>
              <w:ind w:left="0"/>
              <w:rPr>
                <w:sz w:val="14"/>
              </w:rPr>
            </w:pPr>
          </w:p>
        </w:tc>
      </w:tr>
      <w:tr w:rsidR="00C52843" w14:paraId="1F1E83CF" w14:textId="77777777">
        <w:trPr>
          <w:trHeight w:val="445"/>
        </w:trPr>
        <w:tc>
          <w:tcPr>
            <w:tcW w:w="10087" w:type="dxa"/>
            <w:gridSpan w:val="5"/>
          </w:tcPr>
          <w:p w14:paraId="1F1E83CE" w14:textId="77777777" w:rsidR="00C52843" w:rsidRDefault="000054FE">
            <w:pPr>
              <w:pStyle w:val="TableParagraph"/>
              <w:spacing w:before="2"/>
              <w:rPr>
                <w:sz w:val="12"/>
              </w:rPr>
            </w:pPr>
            <w:r>
              <w:rPr>
                <w:sz w:val="12"/>
              </w:rPr>
              <w:t>Management</w:t>
            </w:r>
            <w:r>
              <w:rPr>
                <w:spacing w:val="-3"/>
                <w:sz w:val="12"/>
              </w:rPr>
              <w:t xml:space="preserve"> </w:t>
            </w:r>
            <w:r>
              <w:rPr>
                <w:sz w:val="12"/>
              </w:rPr>
              <w:t>Company</w:t>
            </w:r>
            <w:r>
              <w:rPr>
                <w:spacing w:val="-2"/>
                <w:sz w:val="12"/>
              </w:rPr>
              <w:t xml:space="preserve"> </w:t>
            </w:r>
            <w:r>
              <w:rPr>
                <w:sz w:val="12"/>
              </w:rPr>
              <w:t>Legal</w:t>
            </w:r>
            <w:r>
              <w:rPr>
                <w:spacing w:val="-3"/>
                <w:sz w:val="12"/>
              </w:rPr>
              <w:t xml:space="preserve"> </w:t>
            </w:r>
            <w:r>
              <w:rPr>
                <w:sz w:val="12"/>
              </w:rPr>
              <w:t>Name</w:t>
            </w:r>
            <w:r>
              <w:rPr>
                <w:spacing w:val="-3"/>
                <w:sz w:val="12"/>
              </w:rPr>
              <w:t xml:space="preserve"> </w:t>
            </w:r>
            <w:r>
              <w:rPr>
                <w:sz w:val="12"/>
              </w:rPr>
              <w:t>(applicable</w:t>
            </w:r>
            <w:r>
              <w:rPr>
                <w:spacing w:val="-3"/>
                <w:sz w:val="12"/>
              </w:rPr>
              <w:t xml:space="preserve"> </w:t>
            </w:r>
            <w:r>
              <w:rPr>
                <w:sz w:val="12"/>
              </w:rPr>
              <w:t>to</w:t>
            </w:r>
            <w:r>
              <w:rPr>
                <w:spacing w:val="-2"/>
                <w:sz w:val="12"/>
              </w:rPr>
              <w:t xml:space="preserve"> </w:t>
            </w:r>
            <w:r>
              <w:rPr>
                <w:sz w:val="12"/>
              </w:rPr>
              <w:t>pension</w:t>
            </w:r>
            <w:r>
              <w:rPr>
                <w:spacing w:val="-2"/>
                <w:sz w:val="12"/>
              </w:rPr>
              <w:t xml:space="preserve"> </w:t>
            </w:r>
            <w:r>
              <w:rPr>
                <w:sz w:val="12"/>
              </w:rPr>
              <w:t>funds)</w:t>
            </w:r>
            <w:r>
              <w:rPr>
                <w:spacing w:val="-1"/>
                <w:sz w:val="12"/>
              </w:rPr>
              <w:t xml:space="preserve"> </w:t>
            </w:r>
            <w:r>
              <w:rPr>
                <w:spacing w:val="-5"/>
                <w:sz w:val="12"/>
              </w:rPr>
              <w:t>(4)</w:t>
            </w:r>
          </w:p>
        </w:tc>
      </w:tr>
      <w:tr w:rsidR="00C52843" w14:paraId="1F1E83D2" w14:textId="77777777">
        <w:trPr>
          <w:trHeight w:val="445"/>
        </w:trPr>
        <w:tc>
          <w:tcPr>
            <w:tcW w:w="1561" w:type="dxa"/>
          </w:tcPr>
          <w:p w14:paraId="1F1E83D0" w14:textId="77777777" w:rsidR="00C52843" w:rsidRDefault="000054FE">
            <w:pPr>
              <w:pStyle w:val="TableParagraph"/>
              <w:spacing w:before="1"/>
              <w:rPr>
                <w:b/>
                <w:sz w:val="16"/>
              </w:rPr>
            </w:pPr>
            <w:r>
              <w:rPr>
                <w:b/>
                <w:sz w:val="16"/>
              </w:rPr>
              <w:t>Section</w:t>
            </w:r>
            <w:r>
              <w:rPr>
                <w:b/>
                <w:spacing w:val="-5"/>
                <w:sz w:val="16"/>
              </w:rPr>
              <w:t xml:space="preserve"> III</w:t>
            </w:r>
          </w:p>
        </w:tc>
        <w:tc>
          <w:tcPr>
            <w:tcW w:w="8526" w:type="dxa"/>
            <w:gridSpan w:val="4"/>
            <w:shd w:val="clear" w:color="auto" w:fill="E4E4E4"/>
          </w:tcPr>
          <w:p w14:paraId="1F1E83D1" w14:textId="77777777" w:rsidR="00C52843" w:rsidRDefault="000054FE">
            <w:pPr>
              <w:pStyle w:val="TableParagraph"/>
              <w:spacing w:before="9"/>
              <w:rPr>
                <w:b/>
                <w:sz w:val="16"/>
              </w:rPr>
            </w:pPr>
            <w:r>
              <w:rPr>
                <w:b/>
                <w:sz w:val="16"/>
              </w:rPr>
              <w:t>DECLARATIONS</w:t>
            </w:r>
            <w:r>
              <w:rPr>
                <w:b/>
                <w:spacing w:val="-1"/>
                <w:sz w:val="16"/>
              </w:rPr>
              <w:t xml:space="preserve"> </w:t>
            </w:r>
            <w:r>
              <w:rPr>
                <w:b/>
                <w:sz w:val="16"/>
              </w:rPr>
              <w:t xml:space="preserve">AND </w:t>
            </w:r>
            <w:r>
              <w:rPr>
                <w:b/>
                <w:spacing w:val="-2"/>
                <w:sz w:val="16"/>
              </w:rPr>
              <w:t>UNDERTAKINGS</w:t>
            </w:r>
          </w:p>
        </w:tc>
      </w:tr>
      <w:tr w:rsidR="00C52843" w14:paraId="1F1E83D5" w14:textId="77777777">
        <w:trPr>
          <w:trHeight w:val="624"/>
        </w:trPr>
        <w:tc>
          <w:tcPr>
            <w:tcW w:w="10087" w:type="dxa"/>
            <w:gridSpan w:val="5"/>
            <w:tcBorders>
              <w:bottom w:val="nil"/>
            </w:tcBorders>
          </w:tcPr>
          <w:p w14:paraId="1F1E83D3" w14:textId="77777777" w:rsidR="00C52843" w:rsidRDefault="000054FE">
            <w:pPr>
              <w:pStyle w:val="TableParagraph"/>
              <w:tabs>
                <w:tab w:val="left" w:leader="dot" w:pos="4215"/>
              </w:tabs>
              <w:spacing w:before="93"/>
              <w:ind w:left="460"/>
              <w:rPr>
                <w:sz w:val="16"/>
              </w:rPr>
            </w:pPr>
            <w:r>
              <w:rPr>
                <w:sz w:val="16"/>
              </w:rPr>
              <w:t>The</w:t>
            </w:r>
            <w:r>
              <w:rPr>
                <w:spacing w:val="2"/>
                <w:sz w:val="16"/>
              </w:rPr>
              <w:t xml:space="preserve"> </w:t>
            </w:r>
            <w:r>
              <w:rPr>
                <w:spacing w:val="-2"/>
                <w:sz w:val="16"/>
              </w:rPr>
              <w:t>undersigned</w:t>
            </w:r>
            <w:r>
              <w:rPr>
                <w:sz w:val="16"/>
              </w:rPr>
              <w:tab/>
              <w:t>(name</w:t>
            </w:r>
            <w:r>
              <w:rPr>
                <w:spacing w:val="-4"/>
                <w:sz w:val="16"/>
              </w:rPr>
              <w:t xml:space="preserve"> </w:t>
            </w:r>
            <w:r>
              <w:rPr>
                <w:sz w:val="16"/>
              </w:rPr>
              <w:t>of</w:t>
            </w:r>
            <w:r>
              <w:rPr>
                <w:spacing w:val="-4"/>
                <w:sz w:val="16"/>
              </w:rPr>
              <w:t xml:space="preserve"> </w:t>
            </w:r>
            <w:r>
              <w:rPr>
                <w:sz w:val="16"/>
              </w:rPr>
              <w:t>the</w:t>
            </w:r>
            <w:r>
              <w:rPr>
                <w:spacing w:val="-1"/>
                <w:sz w:val="16"/>
              </w:rPr>
              <w:t xml:space="preserve"> </w:t>
            </w:r>
            <w:r>
              <w:rPr>
                <w:sz w:val="16"/>
              </w:rPr>
              <w:t>entity</w:t>
            </w:r>
            <w:r>
              <w:rPr>
                <w:spacing w:val="-2"/>
                <w:sz w:val="16"/>
              </w:rPr>
              <w:t xml:space="preserve"> </w:t>
            </w:r>
            <w:r>
              <w:rPr>
                <w:sz w:val="16"/>
              </w:rPr>
              <w:t>indicated</w:t>
            </w:r>
            <w:r>
              <w:rPr>
                <w:spacing w:val="-1"/>
                <w:sz w:val="16"/>
              </w:rPr>
              <w:t xml:space="preserve"> </w:t>
            </w:r>
            <w:r>
              <w:rPr>
                <w:sz w:val="16"/>
              </w:rPr>
              <w:t>in</w:t>
            </w:r>
            <w:r>
              <w:rPr>
                <w:spacing w:val="-2"/>
                <w:sz w:val="16"/>
              </w:rPr>
              <w:t xml:space="preserve"> </w:t>
            </w:r>
            <w:r>
              <w:rPr>
                <w:sz w:val="16"/>
              </w:rPr>
              <w:t>fields nr.2.</w:t>
            </w:r>
            <w:r>
              <w:rPr>
                <w:spacing w:val="-2"/>
                <w:sz w:val="16"/>
              </w:rPr>
              <w:t xml:space="preserve"> </w:t>
            </w:r>
            <w:r>
              <w:rPr>
                <w:sz w:val="16"/>
              </w:rPr>
              <w:t>or</w:t>
            </w:r>
            <w:r>
              <w:rPr>
                <w:spacing w:val="-4"/>
                <w:sz w:val="16"/>
              </w:rPr>
              <w:t xml:space="preserve"> </w:t>
            </w:r>
            <w:r>
              <w:rPr>
                <w:sz w:val="16"/>
              </w:rPr>
              <w:t>4),</w:t>
            </w:r>
            <w:r>
              <w:rPr>
                <w:spacing w:val="-1"/>
                <w:sz w:val="16"/>
              </w:rPr>
              <w:t xml:space="preserve"> </w:t>
            </w:r>
            <w:r>
              <w:rPr>
                <w:sz w:val="16"/>
              </w:rPr>
              <w:t>duly</w:t>
            </w:r>
            <w:r>
              <w:rPr>
                <w:spacing w:val="-2"/>
                <w:sz w:val="16"/>
              </w:rPr>
              <w:t xml:space="preserve"> </w:t>
            </w:r>
            <w:r>
              <w:rPr>
                <w:sz w:val="16"/>
              </w:rPr>
              <w:t>represented</w:t>
            </w:r>
            <w:r>
              <w:rPr>
                <w:spacing w:val="-1"/>
                <w:sz w:val="16"/>
              </w:rPr>
              <w:t xml:space="preserve"> </w:t>
            </w:r>
            <w:r>
              <w:rPr>
                <w:sz w:val="16"/>
              </w:rPr>
              <w:t>by</w:t>
            </w:r>
            <w:r>
              <w:rPr>
                <w:spacing w:val="-2"/>
                <w:sz w:val="16"/>
              </w:rPr>
              <w:t xml:space="preserve"> </w:t>
            </w:r>
            <w:r>
              <w:rPr>
                <w:sz w:val="16"/>
              </w:rPr>
              <w:t xml:space="preserve">its </w:t>
            </w:r>
            <w:r>
              <w:rPr>
                <w:spacing w:val="-2"/>
                <w:sz w:val="16"/>
              </w:rPr>
              <w:t>authorized</w:t>
            </w:r>
          </w:p>
          <w:p w14:paraId="1F1E83D4" w14:textId="77777777" w:rsidR="00C52843" w:rsidRDefault="000054FE">
            <w:pPr>
              <w:pStyle w:val="TableParagraph"/>
              <w:ind w:left="460"/>
              <w:rPr>
                <w:sz w:val="16"/>
              </w:rPr>
            </w:pPr>
            <w:r>
              <w:rPr>
                <w:sz w:val="16"/>
              </w:rPr>
              <w:t>Signatory</w:t>
            </w:r>
            <w:r>
              <w:rPr>
                <w:spacing w:val="-3"/>
                <w:sz w:val="16"/>
              </w:rPr>
              <w:t xml:space="preserve"> </w:t>
            </w:r>
            <w:r>
              <w:rPr>
                <w:sz w:val="16"/>
              </w:rPr>
              <w:t>(please</w:t>
            </w:r>
            <w:r>
              <w:rPr>
                <w:spacing w:val="-2"/>
                <w:sz w:val="16"/>
              </w:rPr>
              <w:t xml:space="preserve"> </w:t>
            </w:r>
            <w:r>
              <w:rPr>
                <w:sz w:val="16"/>
              </w:rPr>
              <w:t>attach</w:t>
            </w:r>
            <w:r>
              <w:rPr>
                <w:spacing w:val="-2"/>
                <w:sz w:val="16"/>
              </w:rPr>
              <w:t xml:space="preserve"> </w:t>
            </w:r>
            <w:r>
              <w:rPr>
                <w:sz w:val="16"/>
              </w:rPr>
              <w:t>your</w:t>
            </w:r>
            <w:r>
              <w:rPr>
                <w:spacing w:val="-4"/>
                <w:sz w:val="16"/>
              </w:rPr>
              <w:t xml:space="preserve"> </w:t>
            </w:r>
            <w:r>
              <w:rPr>
                <w:sz w:val="16"/>
              </w:rPr>
              <w:t>latest</w:t>
            </w:r>
            <w:r>
              <w:rPr>
                <w:spacing w:val="-3"/>
                <w:sz w:val="16"/>
              </w:rPr>
              <w:t xml:space="preserve"> </w:t>
            </w:r>
            <w:r>
              <w:rPr>
                <w:sz w:val="16"/>
              </w:rPr>
              <w:t>authorized</w:t>
            </w:r>
            <w:r>
              <w:rPr>
                <w:spacing w:val="-5"/>
                <w:sz w:val="16"/>
              </w:rPr>
              <w:t xml:space="preserve"> </w:t>
            </w:r>
            <w:r>
              <w:rPr>
                <w:sz w:val="16"/>
              </w:rPr>
              <w:t>signatory</w:t>
            </w:r>
            <w:r>
              <w:rPr>
                <w:spacing w:val="-2"/>
                <w:sz w:val="16"/>
              </w:rPr>
              <w:t xml:space="preserve"> </w:t>
            </w:r>
            <w:r>
              <w:rPr>
                <w:spacing w:val="-4"/>
                <w:sz w:val="16"/>
              </w:rPr>
              <w:t>list)</w:t>
            </w:r>
          </w:p>
        </w:tc>
      </w:tr>
      <w:tr w:rsidR="00C52843" w14:paraId="1F1E83E6" w14:textId="77777777">
        <w:trPr>
          <w:trHeight w:val="5673"/>
        </w:trPr>
        <w:tc>
          <w:tcPr>
            <w:tcW w:w="10087" w:type="dxa"/>
            <w:gridSpan w:val="5"/>
            <w:tcBorders>
              <w:top w:val="nil"/>
              <w:bottom w:val="nil"/>
            </w:tcBorders>
          </w:tcPr>
          <w:p w14:paraId="1F1E83D6" w14:textId="77777777" w:rsidR="00C52843" w:rsidRDefault="000054FE">
            <w:pPr>
              <w:pStyle w:val="TableParagraph"/>
              <w:spacing w:before="156"/>
              <w:ind w:left="1487" w:right="1386"/>
              <w:jc w:val="center"/>
              <w:rPr>
                <w:b/>
                <w:sz w:val="16"/>
              </w:rPr>
            </w:pPr>
            <w:r>
              <w:rPr>
                <w:b/>
                <w:sz w:val="16"/>
              </w:rPr>
              <w:t>DECLARES</w:t>
            </w:r>
            <w:r>
              <w:rPr>
                <w:b/>
                <w:spacing w:val="-5"/>
                <w:sz w:val="16"/>
              </w:rPr>
              <w:t xml:space="preserve"> </w:t>
            </w:r>
            <w:r>
              <w:rPr>
                <w:b/>
                <w:sz w:val="16"/>
              </w:rPr>
              <w:t>TO THE ADDRESSEE</w:t>
            </w:r>
            <w:r>
              <w:rPr>
                <w:b/>
                <w:spacing w:val="1"/>
                <w:sz w:val="16"/>
              </w:rPr>
              <w:t xml:space="preserve"> </w:t>
            </w:r>
            <w:r>
              <w:rPr>
                <w:b/>
                <w:sz w:val="16"/>
              </w:rPr>
              <w:t>IN</w:t>
            </w:r>
            <w:r>
              <w:rPr>
                <w:b/>
                <w:spacing w:val="-1"/>
                <w:sz w:val="16"/>
              </w:rPr>
              <w:t xml:space="preserve"> </w:t>
            </w:r>
            <w:r>
              <w:rPr>
                <w:b/>
                <w:sz w:val="16"/>
              </w:rPr>
              <w:t>FIELD NR.</w:t>
            </w:r>
            <w:r>
              <w:rPr>
                <w:b/>
                <w:spacing w:val="3"/>
                <w:sz w:val="16"/>
              </w:rPr>
              <w:t xml:space="preserve"> </w:t>
            </w:r>
            <w:r>
              <w:rPr>
                <w:b/>
                <w:sz w:val="16"/>
              </w:rPr>
              <w:t>1</w:t>
            </w:r>
            <w:r>
              <w:rPr>
                <w:b/>
                <w:spacing w:val="-4"/>
                <w:sz w:val="16"/>
              </w:rPr>
              <w:t xml:space="preserve"> ABOVE</w:t>
            </w:r>
          </w:p>
          <w:p w14:paraId="1F1E83D7" w14:textId="77777777" w:rsidR="00C52843" w:rsidRDefault="000054FE">
            <w:pPr>
              <w:pStyle w:val="TableParagraph"/>
              <w:ind w:left="1487" w:right="1387"/>
              <w:jc w:val="center"/>
              <w:rPr>
                <w:b/>
                <w:sz w:val="16"/>
              </w:rPr>
            </w:pPr>
            <w:r>
              <w:rPr>
                <w:b/>
                <w:sz w:val="16"/>
              </w:rPr>
              <w:t>FOR</w:t>
            </w:r>
            <w:r>
              <w:rPr>
                <w:b/>
                <w:spacing w:val="-1"/>
                <w:sz w:val="16"/>
              </w:rPr>
              <w:t xml:space="preserve"> </w:t>
            </w:r>
            <w:r>
              <w:rPr>
                <w:b/>
                <w:sz w:val="16"/>
              </w:rPr>
              <w:t>THE</w:t>
            </w:r>
            <w:r>
              <w:rPr>
                <w:b/>
                <w:spacing w:val="-1"/>
                <w:sz w:val="16"/>
              </w:rPr>
              <w:t xml:space="preserve"> </w:t>
            </w:r>
            <w:r>
              <w:rPr>
                <w:b/>
                <w:sz w:val="16"/>
              </w:rPr>
              <w:t>PURPOSES</w:t>
            </w:r>
            <w:r>
              <w:rPr>
                <w:b/>
                <w:spacing w:val="-1"/>
                <w:sz w:val="16"/>
              </w:rPr>
              <w:t xml:space="preserve"> </w:t>
            </w:r>
            <w:r>
              <w:rPr>
                <w:b/>
                <w:sz w:val="16"/>
              </w:rPr>
              <w:t>OF</w:t>
            </w:r>
            <w:r>
              <w:rPr>
                <w:b/>
                <w:spacing w:val="-4"/>
                <w:sz w:val="16"/>
              </w:rPr>
              <w:t xml:space="preserve"> </w:t>
            </w:r>
            <w:r>
              <w:rPr>
                <w:b/>
                <w:sz w:val="16"/>
              </w:rPr>
              <w:t>ARTICLE 19, PAR.</w:t>
            </w:r>
            <w:r>
              <w:rPr>
                <w:b/>
                <w:spacing w:val="-1"/>
                <w:sz w:val="16"/>
              </w:rPr>
              <w:t xml:space="preserve"> </w:t>
            </w:r>
            <w:r>
              <w:rPr>
                <w:b/>
                <w:sz w:val="16"/>
              </w:rPr>
              <w:t>3,</w:t>
            </w:r>
            <w:r>
              <w:rPr>
                <w:b/>
                <w:spacing w:val="-1"/>
                <w:sz w:val="16"/>
              </w:rPr>
              <w:t xml:space="preserve"> </w:t>
            </w:r>
            <w:r>
              <w:rPr>
                <w:b/>
                <w:sz w:val="16"/>
              </w:rPr>
              <w:t>OF</w:t>
            </w:r>
            <w:r>
              <w:rPr>
                <w:b/>
                <w:spacing w:val="-3"/>
                <w:sz w:val="16"/>
              </w:rPr>
              <w:t xml:space="preserve"> </w:t>
            </w:r>
            <w:r>
              <w:rPr>
                <w:b/>
                <w:sz w:val="16"/>
              </w:rPr>
              <w:t>THE</w:t>
            </w:r>
            <w:r>
              <w:rPr>
                <w:b/>
                <w:spacing w:val="-1"/>
                <w:sz w:val="16"/>
              </w:rPr>
              <w:t xml:space="preserve"> </w:t>
            </w:r>
            <w:r>
              <w:rPr>
                <w:b/>
                <w:sz w:val="16"/>
              </w:rPr>
              <w:t>TREASURY</w:t>
            </w:r>
            <w:r>
              <w:rPr>
                <w:b/>
                <w:spacing w:val="-1"/>
                <w:sz w:val="16"/>
              </w:rPr>
              <w:t xml:space="preserve"> </w:t>
            </w:r>
            <w:r>
              <w:rPr>
                <w:b/>
                <w:sz w:val="16"/>
              </w:rPr>
              <w:t>DECREE</w:t>
            </w:r>
            <w:r>
              <w:rPr>
                <w:b/>
                <w:spacing w:val="1"/>
                <w:sz w:val="16"/>
              </w:rPr>
              <w:t xml:space="preserve"> </w:t>
            </w:r>
            <w:r>
              <w:rPr>
                <w:b/>
                <w:sz w:val="16"/>
              </w:rPr>
              <w:t>21</w:t>
            </w:r>
            <w:r>
              <w:rPr>
                <w:b/>
                <w:spacing w:val="-1"/>
                <w:sz w:val="16"/>
              </w:rPr>
              <w:t xml:space="preserve"> </w:t>
            </w:r>
            <w:r>
              <w:rPr>
                <w:b/>
                <w:sz w:val="16"/>
              </w:rPr>
              <w:t xml:space="preserve">FEBRUARY </w:t>
            </w:r>
            <w:r>
              <w:rPr>
                <w:b/>
                <w:spacing w:val="-4"/>
                <w:sz w:val="16"/>
              </w:rPr>
              <w:t>2013</w:t>
            </w:r>
          </w:p>
          <w:p w14:paraId="1F1E83D8" w14:textId="77777777" w:rsidR="00C52843" w:rsidRDefault="00C52843">
            <w:pPr>
              <w:pStyle w:val="TableParagraph"/>
              <w:spacing w:before="7"/>
              <w:ind w:left="0"/>
              <w:rPr>
                <w:b/>
                <w:sz w:val="15"/>
              </w:rPr>
            </w:pPr>
          </w:p>
          <w:p w14:paraId="1F1E83D9" w14:textId="77777777" w:rsidR="00C52843" w:rsidRDefault="000054FE">
            <w:pPr>
              <w:pStyle w:val="TableParagraph"/>
              <w:numPr>
                <w:ilvl w:val="0"/>
                <w:numId w:val="4"/>
              </w:numPr>
              <w:tabs>
                <w:tab w:val="left" w:pos="555"/>
              </w:tabs>
              <w:spacing w:before="1"/>
              <w:ind w:right="263" w:firstLine="0"/>
              <w:jc w:val="both"/>
              <w:rPr>
                <w:sz w:val="16"/>
              </w:rPr>
            </w:pPr>
            <w:r>
              <w:rPr>
                <w:sz w:val="16"/>
              </w:rPr>
              <w:t>That all transactions in chargeable equities and chargeable derivatives in respect of the above Legal Entity or account number(s) shall be</w:t>
            </w:r>
            <w:r>
              <w:rPr>
                <w:spacing w:val="40"/>
                <w:sz w:val="16"/>
              </w:rPr>
              <w:t xml:space="preserve"> </w:t>
            </w:r>
            <w:r>
              <w:rPr>
                <w:sz w:val="16"/>
              </w:rPr>
              <w:t>exempted for both counterparties from the Italian Financial Transaction Tax under Article 1, par. 494, of Law 24 December 2012 n. 228 and</w:t>
            </w:r>
            <w:r>
              <w:rPr>
                <w:spacing w:val="40"/>
                <w:sz w:val="16"/>
              </w:rPr>
              <w:t xml:space="preserve"> </w:t>
            </w:r>
            <w:r>
              <w:rPr>
                <w:sz w:val="16"/>
              </w:rPr>
              <w:t xml:space="preserve">Article 16, par. 1, </w:t>
            </w:r>
            <w:proofErr w:type="spellStart"/>
            <w:r>
              <w:rPr>
                <w:sz w:val="16"/>
              </w:rPr>
              <w:t>lett</w:t>
            </w:r>
            <w:proofErr w:type="spellEnd"/>
            <w:r>
              <w:rPr>
                <w:sz w:val="16"/>
              </w:rPr>
              <w:t>. a) of the Treasury Decree 21 February 2013, for the reason that</w:t>
            </w:r>
            <w:r>
              <w:rPr>
                <w:spacing w:val="11"/>
                <w:sz w:val="16"/>
              </w:rPr>
              <w:t xml:space="preserve"> </w:t>
            </w:r>
            <w:r>
              <w:rPr>
                <w:sz w:val="16"/>
              </w:rPr>
              <w:t>the Legal Entity qualifies / the account number(s) relate to</w:t>
            </w:r>
            <w:r>
              <w:rPr>
                <w:spacing w:val="40"/>
                <w:sz w:val="16"/>
              </w:rPr>
              <w:t xml:space="preserve"> </w:t>
            </w:r>
            <w:r>
              <w:rPr>
                <w:sz w:val="16"/>
              </w:rPr>
              <w:t>an entity that qualifies as one of the following entities or institutions (select relevant option):</w:t>
            </w:r>
          </w:p>
          <w:p w14:paraId="1F1E83DA" w14:textId="77777777" w:rsidR="00C52843" w:rsidRDefault="000054FE">
            <w:pPr>
              <w:pStyle w:val="TableParagraph"/>
              <w:numPr>
                <w:ilvl w:val="1"/>
                <w:numId w:val="4"/>
              </w:numPr>
              <w:tabs>
                <w:tab w:val="left" w:pos="585"/>
              </w:tabs>
              <w:spacing w:before="2" w:line="207" w:lineRule="exact"/>
              <w:ind w:left="585" w:hanging="213"/>
              <w:jc w:val="both"/>
              <w:rPr>
                <w:sz w:val="18"/>
              </w:rPr>
            </w:pPr>
            <w:r>
              <w:rPr>
                <w:sz w:val="16"/>
              </w:rPr>
              <w:t>the</w:t>
            </w:r>
            <w:r>
              <w:rPr>
                <w:spacing w:val="-5"/>
                <w:sz w:val="16"/>
              </w:rPr>
              <w:t xml:space="preserve"> </w:t>
            </w:r>
            <w:r>
              <w:rPr>
                <w:sz w:val="16"/>
              </w:rPr>
              <w:t>European</w:t>
            </w:r>
            <w:r>
              <w:rPr>
                <w:spacing w:val="-2"/>
                <w:sz w:val="16"/>
              </w:rPr>
              <w:t xml:space="preserve"> </w:t>
            </w:r>
            <w:r>
              <w:rPr>
                <w:sz w:val="16"/>
              </w:rPr>
              <w:t>Union,</w:t>
            </w:r>
            <w:r>
              <w:rPr>
                <w:spacing w:val="-2"/>
                <w:sz w:val="16"/>
              </w:rPr>
              <w:t xml:space="preserve"> </w:t>
            </w:r>
            <w:r>
              <w:rPr>
                <w:sz w:val="16"/>
              </w:rPr>
              <w:t>the</w:t>
            </w:r>
            <w:r>
              <w:rPr>
                <w:spacing w:val="-2"/>
                <w:sz w:val="16"/>
              </w:rPr>
              <w:t xml:space="preserve"> </w:t>
            </w:r>
            <w:r>
              <w:rPr>
                <w:sz w:val="16"/>
              </w:rPr>
              <w:t>European</w:t>
            </w:r>
            <w:r>
              <w:rPr>
                <w:spacing w:val="-2"/>
                <w:sz w:val="16"/>
              </w:rPr>
              <w:t xml:space="preserve"> </w:t>
            </w:r>
            <w:r>
              <w:rPr>
                <w:sz w:val="16"/>
              </w:rPr>
              <w:t>Institutions,</w:t>
            </w:r>
            <w:r>
              <w:rPr>
                <w:spacing w:val="-2"/>
                <w:sz w:val="16"/>
              </w:rPr>
              <w:t xml:space="preserve"> </w:t>
            </w:r>
            <w:r>
              <w:rPr>
                <w:sz w:val="16"/>
              </w:rPr>
              <w:t>the</w:t>
            </w:r>
            <w:r>
              <w:rPr>
                <w:spacing w:val="-2"/>
                <w:sz w:val="16"/>
              </w:rPr>
              <w:t xml:space="preserve"> </w:t>
            </w:r>
            <w:r>
              <w:rPr>
                <w:sz w:val="16"/>
              </w:rPr>
              <w:t>European</w:t>
            </w:r>
            <w:r>
              <w:rPr>
                <w:spacing w:val="-2"/>
                <w:sz w:val="16"/>
              </w:rPr>
              <w:t xml:space="preserve"> </w:t>
            </w:r>
            <w:r>
              <w:rPr>
                <w:sz w:val="16"/>
              </w:rPr>
              <w:t>Atomic</w:t>
            </w:r>
            <w:r>
              <w:rPr>
                <w:spacing w:val="-2"/>
                <w:sz w:val="16"/>
              </w:rPr>
              <w:t xml:space="preserve"> </w:t>
            </w:r>
            <w:r>
              <w:rPr>
                <w:sz w:val="16"/>
              </w:rPr>
              <w:t>Energy</w:t>
            </w:r>
            <w:r>
              <w:rPr>
                <w:spacing w:val="-2"/>
                <w:sz w:val="16"/>
              </w:rPr>
              <w:t xml:space="preserve"> </w:t>
            </w:r>
            <w:r>
              <w:rPr>
                <w:sz w:val="16"/>
              </w:rPr>
              <w:t>Community;</w:t>
            </w:r>
            <w:r>
              <w:rPr>
                <w:spacing w:val="3"/>
                <w:sz w:val="16"/>
              </w:rPr>
              <w:t xml:space="preserve"> </w:t>
            </w:r>
            <w:r>
              <w:rPr>
                <w:spacing w:val="-10"/>
                <w:sz w:val="18"/>
              </w:rPr>
              <w:t>□</w:t>
            </w:r>
          </w:p>
          <w:p w14:paraId="1F1E83DB" w14:textId="77777777" w:rsidR="00C52843" w:rsidRDefault="000054FE">
            <w:pPr>
              <w:pStyle w:val="TableParagraph"/>
              <w:numPr>
                <w:ilvl w:val="1"/>
                <w:numId w:val="4"/>
              </w:numPr>
              <w:tabs>
                <w:tab w:val="left" w:pos="614"/>
              </w:tabs>
              <w:ind w:left="372" w:right="267" w:firstLine="0"/>
              <w:jc w:val="both"/>
              <w:rPr>
                <w:sz w:val="18"/>
              </w:rPr>
            </w:pPr>
            <w:r>
              <w:rPr>
                <w:sz w:val="16"/>
              </w:rPr>
              <w:t>bodies covered by the Protocol on the Privileges and Immunities of the European Union or the European Central Bank and the European</w:t>
            </w:r>
            <w:r>
              <w:rPr>
                <w:spacing w:val="40"/>
                <w:sz w:val="16"/>
              </w:rPr>
              <w:t xml:space="preserve"> </w:t>
            </w:r>
            <w:r>
              <w:rPr>
                <w:sz w:val="16"/>
              </w:rPr>
              <w:t>Investment Bank;</w:t>
            </w:r>
            <w:r>
              <w:rPr>
                <w:spacing w:val="40"/>
                <w:sz w:val="16"/>
              </w:rPr>
              <w:t xml:space="preserve"> </w:t>
            </w:r>
            <w:r>
              <w:rPr>
                <w:sz w:val="18"/>
              </w:rPr>
              <w:t>□</w:t>
            </w:r>
          </w:p>
          <w:p w14:paraId="1F1E83DC" w14:textId="77777777" w:rsidR="00C52843" w:rsidRDefault="000054FE">
            <w:pPr>
              <w:pStyle w:val="TableParagraph"/>
              <w:numPr>
                <w:ilvl w:val="1"/>
                <w:numId w:val="4"/>
              </w:numPr>
              <w:tabs>
                <w:tab w:val="left" w:pos="593"/>
              </w:tabs>
              <w:spacing w:before="2" w:line="237" w:lineRule="auto"/>
              <w:ind w:left="372" w:right="269" w:firstLine="0"/>
              <w:jc w:val="both"/>
              <w:rPr>
                <w:sz w:val="18"/>
              </w:rPr>
            </w:pPr>
            <w:r>
              <w:rPr>
                <w:sz w:val="16"/>
              </w:rPr>
              <w:t>the central banks of the Member States of the European Union and the central banks and organizations managing also the official reserves of</w:t>
            </w:r>
            <w:r>
              <w:rPr>
                <w:spacing w:val="40"/>
                <w:sz w:val="16"/>
              </w:rPr>
              <w:t xml:space="preserve"> </w:t>
            </w:r>
            <w:r>
              <w:rPr>
                <w:sz w:val="16"/>
              </w:rPr>
              <w:t xml:space="preserve">other States; </w:t>
            </w:r>
            <w:r>
              <w:rPr>
                <w:sz w:val="18"/>
              </w:rPr>
              <w:t>□</w:t>
            </w:r>
          </w:p>
          <w:p w14:paraId="1F1E83DD" w14:textId="77777777" w:rsidR="00C52843" w:rsidRDefault="000054FE">
            <w:pPr>
              <w:pStyle w:val="TableParagraph"/>
              <w:numPr>
                <w:ilvl w:val="1"/>
                <w:numId w:val="4"/>
              </w:numPr>
              <w:tabs>
                <w:tab w:val="left" w:pos="598"/>
              </w:tabs>
              <w:ind w:left="372" w:right="268" w:firstLine="0"/>
              <w:jc w:val="both"/>
              <w:rPr>
                <w:sz w:val="18"/>
              </w:rPr>
            </w:pPr>
            <w:r>
              <w:rPr>
                <w:sz w:val="16"/>
              </w:rPr>
              <w:t>bodies or international organizations established</w:t>
            </w:r>
            <w:r>
              <w:rPr>
                <w:spacing w:val="-3"/>
                <w:sz w:val="16"/>
              </w:rPr>
              <w:t xml:space="preserve"> </w:t>
            </w:r>
            <w:r>
              <w:rPr>
                <w:sz w:val="16"/>
              </w:rPr>
              <w:t>in accordance with international</w:t>
            </w:r>
            <w:r>
              <w:rPr>
                <w:spacing w:val="-3"/>
                <w:sz w:val="16"/>
              </w:rPr>
              <w:t xml:space="preserve"> </w:t>
            </w:r>
            <w:r>
              <w:rPr>
                <w:sz w:val="16"/>
              </w:rPr>
              <w:t>agreements</w:t>
            </w:r>
            <w:r>
              <w:rPr>
                <w:spacing w:val="-1"/>
                <w:sz w:val="16"/>
              </w:rPr>
              <w:t xml:space="preserve"> </w:t>
            </w:r>
            <w:r>
              <w:rPr>
                <w:sz w:val="16"/>
              </w:rPr>
              <w:t>enforced in Italy,</w:t>
            </w:r>
            <w:r>
              <w:rPr>
                <w:spacing w:val="-3"/>
                <w:sz w:val="16"/>
              </w:rPr>
              <w:t xml:space="preserve"> </w:t>
            </w:r>
            <w:r>
              <w:rPr>
                <w:sz w:val="16"/>
              </w:rPr>
              <w:t>as</w:t>
            </w:r>
            <w:r>
              <w:rPr>
                <w:spacing w:val="-1"/>
                <w:sz w:val="16"/>
              </w:rPr>
              <w:t xml:space="preserve"> </w:t>
            </w:r>
            <w:r>
              <w:rPr>
                <w:sz w:val="16"/>
              </w:rPr>
              <w:t>listed in</w:t>
            </w:r>
            <w:r>
              <w:rPr>
                <w:spacing w:val="-7"/>
                <w:sz w:val="16"/>
              </w:rPr>
              <w:t xml:space="preserve"> </w:t>
            </w:r>
            <w:r>
              <w:rPr>
                <w:sz w:val="16"/>
              </w:rPr>
              <w:t>a specific regulation</w:t>
            </w:r>
            <w:r>
              <w:rPr>
                <w:spacing w:val="40"/>
                <w:sz w:val="16"/>
              </w:rPr>
              <w:t xml:space="preserve"> </w:t>
            </w:r>
            <w:r>
              <w:rPr>
                <w:sz w:val="16"/>
              </w:rPr>
              <w:t xml:space="preserve">of the Italian tax authorities (lacking such regulation, reference shall be made to the entities listed in Attachment 1 to this Form). </w:t>
            </w:r>
            <w:r>
              <w:rPr>
                <w:sz w:val="18"/>
              </w:rPr>
              <w:t>□</w:t>
            </w:r>
          </w:p>
          <w:p w14:paraId="1F1E83DE" w14:textId="77777777" w:rsidR="00C52843" w:rsidRDefault="000054FE">
            <w:pPr>
              <w:pStyle w:val="TableParagraph"/>
              <w:spacing w:before="1"/>
              <w:ind w:left="1487" w:right="1382"/>
              <w:jc w:val="center"/>
              <w:rPr>
                <w:sz w:val="16"/>
              </w:rPr>
            </w:pPr>
            <w:r>
              <w:rPr>
                <w:spacing w:val="-5"/>
                <w:sz w:val="16"/>
              </w:rPr>
              <w:t>or</w:t>
            </w:r>
          </w:p>
          <w:p w14:paraId="1F1E83DF" w14:textId="77777777" w:rsidR="00C52843" w:rsidRDefault="000054FE">
            <w:pPr>
              <w:pStyle w:val="TableParagraph"/>
              <w:numPr>
                <w:ilvl w:val="0"/>
                <w:numId w:val="3"/>
              </w:numPr>
              <w:tabs>
                <w:tab w:val="left" w:pos="539"/>
              </w:tabs>
              <w:ind w:right="264" w:firstLine="0"/>
              <w:jc w:val="both"/>
              <w:rPr>
                <w:sz w:val="16"/>
              </w:rPr>
            </w:pPr>
            <w:r>
              <w:rPr>
                <w:sz w:val="16"/>
              </w:rPr>
              <w:t>That the above Legal Entity</w:t>
            </w:r>
            <w:r>
              <w:rPr>
                <w:spacing w:val="11"/>
                <w:sz w:val="16"/>
              </w:rPr>
              <w:t xml:space="preserve"> </w:t>
            </w:r>
            <w:r>
              <w:rPr>
                <w:sz w:val="16"/>
              </w:rPr>
              <w:t>or account number(s) shall be</w:t>
            </w:r>
            <w:r>
              <w:rPr>
                <w:spacing w:val="12"/>
                <w:sz w:val="16"/>
              </w:rPr>
              <w:t xml:space="preserve"> </w:t>
            </w:r>
            <w:r>
              <w:rPr>
                <w:sz w:val="16"/>
              </w:rPr>
              <w:t>exempted, under Article 1, par.</w:t>
            </w:r>
            <w:r>
              <w:rPr>
                <w:spacing w:val="11"/>
                <w:sz w:val="16"/>
              </w:rPr>
              <w:t xml:space="preserve"> </w:t>
            </w:r>
            <w:r>
              <w:rPr>
                <w:sz w:val="16"/>
              </w:rPr>
              <w:t>494, of</w:t>
            </w:r>
            <w:r>
              <w:rPr>
                <w:spacing w:val="10"/>
                <w:sz w:val="16"/>
              </w:rPr>
              <w:t xml:space="preserve"> </w:t>
            </w:r>
            <w:r>
              <w:rPr>
                <w:sz w:val="16"/>
              </w:rPr>
              <w:t>Law 24 December 2012 n. 228 and Article</w:t>
            </w:r>
            <w:r>
              <w:rPr>
                <w:spacing w:val="40"/>
                <w:sz w:val="16"/>
              </w:rPr>
              <w:t xml:space="preserve"> </w:t>
            </w:r>
            <w:r>
              <w:rPr>
                <w:sz w:val="16"/>
              </w:rPr>
              <w:t>16, par. 5, of the Treasury Decree 21 February 2013, from the Italian Financial Transaction tax in relation to purchases of chargeable equities and</w:t>
            </w:r>
            <w:r>
              <w:rPr>
                <w:spacing w:val="40"/>
                <w:sz w:val="16"/>
              </w:rPr>
              <w:t xml:space="preserve"> </w:t>
            </w:r>
            <w:r>
              <w:rPr>
                <w:sz w:val="16"/>
              </w:rPr>
              <w:t>transactions in chargeable derivatives, for the reason that the Legal Entity qualifies / the account number(s) relate to an entity that qualifies as one</w:t>
            </w:r>
            <w:r>
              <w:rPr>
                <w:spacing w:val="40"/>
                <w:sz w:val="16"/>
              </w:rPr>
              <w:t xml:space="preserve"> </w:t>
            </w:r>
            <w:r>
              <w:rPr>
                <w:sz w:val="16"/>
              </w:rPr>
              <w:t>of the following entities or institutions (select relevant option):</w:t>
            </w:r>
          </w:p>
          <w:p w14:paraId="1F1E83E0" w14:textId="77777777" w:rsidR="00C52843" w:rsidRDefault="000054FE">
            <w:pPr>
              <w:pStyle w:val="TableParagraph"/>
              <w:numPr>
                <w:ilvl w:val="1"/>
                <w:numId w:val="3"/>
              </w:numPr>
              <w:tabs>
                <w:tab w:val="left" w:pos="601"/>
              </w:tabs>
              <w:spacing w:before="2" w:line="237" w:lineRule="auto"/>
              <w:ind w:right="274" w:firstLine="0"/>
              <w:jc w:val="both"/>
              <w:rPr>
                <w:sz w:val="18"/>
              </w:rPr>
            </w:pPr>
            <w:r>
              <w:rPr>
                <w:sz w:val="16"/>
              </w:rPr>
              <w:t>pension funds subject to supervision under Directive 2003/41/EC, established (</w:t>
            </w:r>
            <w:proofErr w:type="spellStart"/>
            <w:r>
              <w:rPr>
                <w:sz w:val="16"/>
              </w:rPr>
              <w:t>i</w:t>
            </w:r>
            <w:proofErr w:type="spellEnd"/>
            <w:r>
              <w:rPr>
                <w:sz w:val="16"/>
              </w:rPr>
              <w:t>) in the Member States of the European Union or (ii) in the</w:t>
            </w:r>
            <w:r>
              <w:rPr>
                <w:spacing w:val="40"/>
                <w:sz w:val="16"/>
              </w:rPr>
              <w:t xml:space="preserve"> </w:t>
            </w:r>
            <w:r>
              <w:rPr>
                <w:sz w:val="16"/>
              </w:rPr>
              <w:t>States which are parties to the Agreement on the European Economic Area and allow an adequate exchange of information with Italy (as of 1</w:t>
            </w:r>
            <w:r>
              <w:rPr>
                <w:spacing w:val="40"/>
                <w:sz w:val="16"/>
              </w:rPr>
              <w:t xml:space="preserve"> </w:t>
            </w:r>
            <w:r>
              <w:rPr>
                <w:sz w:val="16"/>
              </w:rPr>
              <w:t xml:space="preserve">March 2013: Norway and Iceland only); </w:t>
            </w:r>
            <w:r>
              <w:rPr>
                <w:sz w:val="18"/>
              </w:rPr>
              <w:t>□</w:t>
            </w:r>
          </w:p>
          <w:p w14:paraId="1F1E83E1" w14:textId="77777777" w:rsidR="00C52843" w:rsidRDefault="000054FE">
            <w:pPr>
              <w:pStyle w:val="TableParagraph"/>
              <w:numPr>
                <w:ilvl w:val="1"/>
                <w:numId w:val="3"/>
              </w:numPr>
              <w:tabs>
                <w:tab w:val="left" w:pos="598"/>
              </w:tabs>
              <w:spacing w:before="1"/>
              <w:ind w:right="259" w:firstLine="0"/>
              <w:jc w:val="both"/>
              <w:rPr>
                <w:sz w:val="18"/>
              </w:rPr>
            </w:pPr>
            <w:r>
              <w:rPr>
                <w:sz w:val="16"/>
              </w:rPr>
              <w:t>compulsory social security institutions, established</w:t>
            </w:r>
            <w:r>
              <w:rPr>
                <w:spacing w:val="-2"/>
                <w:sz w:val="16"/>
              </w:rPr>
              <w:t xml:space="preserve"> </w:t>
            </w:r>
            <w:r>
              <w:rPr>
                <w:sz w:val="16"/>
              </w:rPr>
              <w:t>(</w:t>
            </w:r>
            <w:proofErr w:type="spellStart"/>
            <w:r>
              <w:rPr>
                <w:sz w:val="16"/>
              </w:rPr>
              <w:t>i</w:t>
            </w:r>
            <w:proofErr w:type="spellEnd"/>
            <w:r>
              <w:rPr>
                <w:sz w:val="16"/>
              </w:rPr>
              <w:t>) in the Member States of the</w:t>
            </w:r>
            <w:r>
              <w:rPr>
                <w:spacing w:val="-1"/>
                <w:sz w:val="16"/>
              </w:rPr>
              <w:t xml:space="preserve"> </w:t>
            </w:r>
            <w:r>
              <w:rPr>
                <w:sz w:val="16"/>
              </w:rPr>
              <w:t>European Union or (ii) in the States which are parties to the</w:t>
            </w:r>
            <w:r>
              <w:rPr>
                <w:spacing w:val="40"/>
                <w:sz w:val="16"/>
              </w:rPr>
              <w:t xml:space="preserve"> </w:t>
            </w:r>
            <w:r>
              <w:rPr>
                <w:sz w:val="16"/>
              </w:rPr>
              <w:t>Agreement on the European Economic Area and allow an adequate exchange of information with Italy (as of 1 March 2013: Norway and Iceland</w:t>
            </w:r>
            <w:r>
              <w:rPr>
                <w:spacing w:val="40"/>
                <w:sz w:val="16"/>
              </w:rPr>
              <w:t xml:space="preserve"> </w:t>
            </w:r>
            <w:r>
              <w:rPr>
                <w:sz w:val="16"/>
              </w:rPr>
              <w:t>only);</w:t>
            </w:r>
            <w:r>
              <w:rPr>
                <w:spacing w:val="-3"/>
                <w:sz w:val="16"/>
              </w:rPr>
              <w:t xml:space="preserve"> </w:t>
            </w:r>
            <w:r>
              <w:rPr>
                <w:sz w:val="18"/>
              </w:rPr>
              <w:t>□</w:t>
            </w:r>
          </w:p>
          <w:p w14:paraId="1F1E83E2" w14:textId="77777777" w:rsidR="00C52843" w:rsidRDefault="000054FE">
            <w:pPr>
              <w:pStyle w:val="TableParagraph"/>
              <w:numPr>
                <w:ilvl w:val="1"/>
                <w:numId w:val="3"/>
              </w:numPr>
              <w:tabs>
                <w:tab w:val="left" w:pos="585"/>
              </w:tabs>
              <w:spacing w:before="2" w:line="206" w:lineRule="exact"/>
              <w:ind w:left="585" w:hanging="213"/>
              <w:jc w:val="both"/>
              <w:rPr>
                <w:sz w:val="18"/>
              </w:rPr>
            </w:pPr>
            <w:r>
              <w:rPr>
                <w:sz w:val="16"/>
              </w:rPr>
              <w:t>persons</w:t>
            </w:r>
            <w:r>
              <w:rPr>
                <w:spacing w:val="-1"/>
                <w:sz w:val="16"/>
              </w:rPr>
              <w:t xml:space="preserve"> </w:t>
            </w:r>
            <w:r>
              <w:rPr>
                <w:sz w:val="16"/>
              </w:rPr>
              <w:t>and</w:t>
            </w:r>
            <w:r>
              <w:rPr>
                <w:spacing w:val="-2"/>
                <w:sz w:val="16"/>
              </w:rPr>
              <w:t xml:space="preserve"> </w:t>
            </w:r>
            <w:r>
              <w:rPr>
                <w:sz w:val="16"/>
              </w:rPr>
              <w:t>entities</w:t>
            </w:r>
            <w:r>
              <w:rPr>
                <w:spacing w:val="-1"/>
                <w:sz w:val="16"/>
              </w:rPr>
              <w:t xml:space="preserve"> </w:t>
            </w:r>
            <w:r>
              <w:rPr>
                <w:sz w:val="16"/>
              </w:rPr>
              <w:t>participated</w:t>
            </w:r>
            <w:r>
              <w:rPr>
                <w:spacing w:val="-5"/>
                <w:sz w:val="16"/>
              </w:rPr>
              <w:t xml:space="preserve"> </w:t>
            </w:r>
            <w:r>
              <w:rPr>
                <w:sz w:val="16"/>
              </w:rPr>
              <w:t>solely</w:t>
            </w:r>
            <w:r>
              <w:rPr>
                <w:spacing w:val="-3"/>
                <w:sz w:val="16"/>
              </w:rPr>
              <w:t xml:space="preserve"> </w:t>
            </w:r>
            <w:r>
              <w:rPr>
                <w:sz w:val="16"/>
              </w:rPr>
              <w:t>by</w:t>
            </w:r>
            <w:r>
              <w:rPr>
                <w:spacing w:val="-2"/>
                <w:sz w:val="16"/>
              </w:rPr>
              <w:t xml:space="preserve"> </w:t>
            </w:r>
            <w:r>
              <w:rPr>
                <w:sz w:val="16"/>
              </w:rPr>
              <w:t>the</w:t>
            </w:r>
            <w:r>
              <w:rPr>
                <w:spacing w:val="3"/>
                <w:sz w:val="16"/>
              </w:rPr>
              <w:t xml:space="preserve"> </w:t>
            </w:r>
            <w:r>
              <w:rPr>
                <w:sz w:val="16"/>
              </w:rPr>
              <w:t>pension</w:t>
            </w:r>
            <w:r>
              <w:rPr>
                <w:spacing w:val="-2"/>
                <w:sz w:val="16"/>
              </w:rPr>
              <w:t xml:space="preserve"> </w:t>
            </w:r>
            <w:r>
              <w:rPr>
                <w:sz w:val="16"/>
              </w:rPr>
              <w:t>funds</w:t>
            </w:r>
            <w:r>
              <w:rPr>
                <w:spacing w:val="-5"/>
                <w:sz w:val="16"/>
              </w:rPr>
              <w:t xml:space="preserve"> </w:t>
            </w:r>
            <w:r>
              <w:rPr>
                <w:sz w:val="16"/>
              </w:rPr>
              <w:t>in</w:t>
            </w:r>
            <w:r>
              <w:rPr>
                <w:spacing w:val="-1"/>
                <w:sz w:val="16"/>
              </w:rPr>
              <w:t xml:space="preserve"> </w:t>
            </w:r>
            <w:r>
              <w:rPr>
                <w:sz w:val="16"/>
              </w:rPr>
              <w:t>(a)</w:t>
            </w:r>
            <w:r>
              <w:rPr>
                <w:spacing w:val="-4"/>
                <w:sz w:val="16"/>
              </w:rPr>
              <w:t xml:space="preserve"> </w:t>
            </w:r>
            <w:r>
              <w:rPr>
                <w:sz w:val="16"/>
              </w:rPr>
              <w:t>above</w:t>
            </w:r>
            <w:r>
              <w:rPr>
                <w:spacing w:val="-2"/>
                <w:sz w:val="16"/>
              </w:rPr>
              <w:t xml:space="preserve"> </w:t>
            </w:r>
            <w:r>
              <w:rPr>
                <w:sz w:val="16"/>
              </w:rPr>
              <w:t>(so-called</w:t>
            </w:r>
            <w:r>
              <w:rPr>
                <w:spacing w:val="-2"/>
                <w:sz w:val="16"/>
              </w:rPr>
              <w:t xml:space="preserve"> </w:t>
            </w:r>
            <w:r>
              <w:rPr>
                <w:sz w:val="16"/>
              </w:rPr>
              <w:t>pension</w:t>
            </w:r>
            <w:r>
              <w:rPr>
                <w:spacing w:val="-1"/>
                <w:sz w:val="16"/>
              </w:rPr>
              <w:t xml:space="preserve"> </w:t>
            </w:r>
            <w:r>
              <w:rPr>
                <w:sz w:val="16"/>
              </w:rPr>
              <w:t>funds</w:t>
            </w:r>
            <w:r>
              <w:rPr>
                <w:spacing w:val="-1"/>
                <w:sz w:val="16"/>
              </w:rPr>
              <w:t xml:space="preserve"> </w:t>
            </w:r>
            <w:r>
              <w:rPr>
                <w:sz w:val="16"/>
              </w:rPr>
              <w:t>pooling</w:t>
            </w:r>
            <w:r>
              <w:rPr>
                <w:spacing w:val="-2"/>
                <w:sz w:val="16"/>
              </w:rPr>
              <w:t xml:space="preserve"> </w:t>
            </w:r>
            <w:r>
              <w:rPr>
                <w:sz w:val="16"/>
              </w:rPr>
              <w:t>vehicles);</w:t>
            </w:r>
            <w:r>
              <w:rPr>
                <w:spacing w:val="1"/>
                <w:sz w:val="16"/>
              </w:rPr>
              <w:t xml:space="preserve"> </w:t>
            </w:r>
            <w:r>
              <w:rPr>
                <w:spacing w:val="-10"/>
                <w:sz w:val="18"/>
              </w:rPr>
              <w:t>□</w:t>
            </w:r>
          </w:p>
          <w:p w14:paraId="1F1E83E3" w14:textId="77777777" w:rsidR="00C52843" w:rsidRDefault="000054FE">
            <w:pPr>
              <w:pStyle w:val="TableParagraph"/>
              <w:numPr>
                <w:ilvl w:val="1"/>
                <w:numId w:val="3"/>
              </w:numPr>
              <w:tabs>
                <w:tab w:val="left" w:pos="594"/>
              </w:tabs>
              <w:spacing w:line="206" w:lineRule="exact"/>
              <w:ind w:left="594" w:hanging="222"/>
              <w:jc w:val="both"/>
              <w:rPr>
                <w:sz w:val="18"/>
              </w:rPr>
            </w:pPr>
            <w:r>
              <w:rPr>
                <w:sz w:val="16"/>
              </w:rPr>
              <w:t>other</w:t>
            </w:r>
            <w:r>
              <w:rPr>
                <w:spacing w:val="-4"/>
                <w:sz w:val="16"/>
              </w:rPr>
              <w:t xml:space="preserve"> </w:t>
            </w:r>
            <w:r>
              <w:rPr>
                <w:sz w:val="16"/>
              </w:rPr>
              <w:t>supplementary</w:t>
            </w:r>
            <w:r>
              <w:rPr>
                <w:spacing w:val="-2"/>
                <w:sz w:val="16"/>
              </w:rPr>
              <w:t xml:space="preserve"> </w:t>
            </w:r>
            <w:r>
              <w:rPr>
                <w:sz w:val="16"/>
              </w:rPr>
              <w:t>pension</w:t>
            </w:r>
            <w:r>
              <w:rPr>
                <w:spacing w:val="-2"/>
                <w:sz w:val="16"/>
              </w:rPr>
              <w:t xml:space="preserve"> </w:t>
            </w:r>
            <w:r>
              <w:rPr>
                <w:sz w:val="16"/>
              </w:rPr>
              <w:t>schemes referred</w:t>
            </w:r>
            <w:r>
              <w:rPr>
                <w:spacing w:val="-2"/>
                <w:sz w:val="16"/>
              </w:rPr>
              <w:t xml:space="preserve"> </w:t>
            </w:r>
            <w:r>
              <w:rPr>
                <w:sz w:val="16"/>
              </w:rPr>
              <w:t>to</w:t>
            </w:r>
            <w:r>
              <w:rPr>
                <w:spacing w:val="-2"/>
                <w:sz w:val="16"/>
              </w:rPr>
              <w:t xml:space="preserve"> </w:t>
            </w:r>
            <w:r>
              <w:rPr>
                <w:sz w:val="16"/>
              </w:rPr>
              <w:t>in</w:t>
            </w:r>
            <w:r>
              <w:rPr>
                <w:spacing w:val="-2"/>
                <w:sz w:val="16"/>
              </w:rPr>
              <w:t xml:space="preserve"> </w:t>
            </w:r>
            <w:r>
              <w:rPr>
                <w:sz w:val="16"/>
              </w:rPr>
              <w:t>Legislative</w:t>
            </w:r>
            <w:r>
              <w:rPr>
                <w:spacing w:val="-1"/>
                <w:sz w:val="16"/>
              </w:rPr>
              <w:t xml:space="preserve"> </w:t>
            </w:r>
            <w:r>
              <w:rPr>
                <w:sz w:val="16"/>
              </w:rPr>
              <w:t>Decree</w:t>
            </w:r>
            <w:r>
              <w:rPr>
                <w:spacing w:val="-2"/>
                <w:sz w:val="16"/>
              </w:rPr>
              <w:t xml:space="preserve"> </w:t>
            </w:r>
            <w:r>
              <w:rPr>
                <w:sz w:val="16"/>
              </w:rPr>
              <w:t>No</w:t>
            </w:r>
            <w:r>
              <w:rPr>
                <w:spacing w:val="-2"/>
                <w:sz w:val="16"/>
              </w:rPr>
              <w:t xml:space="preserve"> </w:t>
            </w:r>
            <w:r>
              <w:rPr>
                <w:sz w:val="16"/>
              </w:rPr>
              <w:t>252</w:t>
            </w:r>
            <w:r>
              <w:rPr>
                <w:spacing w:val="-1"/>
                <w:sz w:val="16"/>
              </w:rPr>
              <w:t xml:space="preserve"> </w:t>
            </w:r>
            <w:r>
              <w:rPr>
                <w:sz w:val="16"/>
              </w:rPr>
              <w:t>of</w:t>
            </w:r>
            <w:r>
              <w:rPr>
                <w:spacing w:val="-4"/>
                <w:sz w:val="16"/>
              </w:rPr>
              <w:t xml:space="preserve"> </w:t>
            </w:r>
            <w:r>
              <w:rPr>
                <w:sz w:val="16"/>
              </w:rPr>
              <w:t>5</w:t>
            </w:r>
            <w:r>
              <w:rPr>
                <w:spacing w:val="-2"/>
                <w:sz w:val="16"/>
              </w:rPr>
              <w:t xml:space="preserve"> </w:t>
            </w:r>
            <w:r>
              <w:rPr>
                <w:sz w:val="16"/>
              </w:rPr>
              <w:t>December</w:t>
            </w:r>
            <w:r>
              <w:rPr>
                <w:spacing w:val="-3"/>
                <w:sz w:val="16"/>
              </w:rPr>
              <w:t xml:space="preserve"> </w:t>
            </w:r>
            <w:r>
              <w:rPr>
                <w:sz w:val="16"/>
              </w:rPr>
              <w:t>2005.</w:t>
            </w:r>
            <w:r>
              <w:rPr>
                <w:spacing w:val="5"/>
                <w:sz w:val="16"/>
              </w:rPr>
              <w:t xml:space="preserve"> </w:t>
            </w:r>
            <w:r>
              <w:rPr>
                <w:spacing w:val="-10"/>
                <w:sz w:val="18"/>
              </w:rPr>
              <w:t>□</w:t>
            </w:r>
          </w:p>
          <w:p w14:paraId="1F1E83E4" w14:textId="77777777" w:rsidR="00C52843" w:rsidRDefault="00C52843">
            <w:pPr>
              <w:pStyle w:val="TableParagraph"/>
              <w:ind w:left="0"/>
              <w:rPr>
                <w:b/>
                <w:sz w:val="16"/>
              </w:rPr>
            </w:pPr>
          </w:p>
          <w:p w14:paraId="1F1E83E5" w14:textId="77777777" w:rsidR="00C52843" w:rsidRDefault="000054FE">
            <w:pPr>
              <w:pStyle w:val="TableParagraph"/>
              <w:spacing w:line="167" w:lineRule="exact"/>
              <w:ind w:left="372"/>
              <w:jc w:val="both"/>
              <w:rPr>
                <w:sz w:val="16"/>
              </w:rPr>
            </w:pPr>
            <w:r>
              <w:rPr>
                <w:sz w:val="16"/>
              </w:rPr>
              <w:t>3.</w:t>
            </w:r>
            <w:r>
              <w:rPr>
                <w:spacing w:val="-2"/>
                <w:sz w:val="16"/>
              </w:rPr>
              <w:t xml:space="preserve"> </w:t>
            </w:r>
            <w:r>
              <w:rPr>
                <w:sz w:val="16"/>
              </w:rPr>
              <w:t>That</w:t>
            </w:r>
            <w:r>
              <w:rPr>
                <w:spacing w:val="-2"/>
                <w:sz w:val="16"/>
              </w:rPr>
              <w:t xml:space="preserve"> </w:t>
            </w:r>
            <w:r>
              <w:rPr>
                <w:sz w:val="16"/>
              </w:rPr>
              <w:t>the</w:t>
            </w:r>
            <w:r>
              <w:rPr>
                <w:spacing w:val="-2"/>
                <w:sz w:val="16"/>
              </w:rPr>
              <w:t xml:space="preserve"> </w:t>
            </w:r>
            <w:r>
              <w:rPr>
                <w:sz w:val="16"/>
              </w:rPr>
              <w:t>information</w:t>
            </w:r>
            <w:r>
              <w:rPr>
                <w:spacing w:val="-1"/>
                <w:sz w:val="16"/>
              </w:rPr>
              <w:t xml:space="preserve"> </w:t>
            </w:r>
            <w:r>
              <w:rPr>
                <w:sz w:val="16"/>
              </w:rPr>
              <w:t>contained</w:t>
            </w:r>
            <w:r>
              <w:rPr>
                <w:spacing w:val="-2"/>
                <w:sz w:val="16"/>
              </w:rPr>
              <w:t xml:space="preserve"> </w:t>
            </w:r>
            <w:r>
              <w:rPr>
                <w:sz w:val="16"/>
              </w:rPr>
              <w:t>herein</w:t>
            </w:r>
            <w:r>
              <w:rPr>
                <w:spacing w:val="-2"/>
                <w:sz w:val="16"/>
              </w:rPr>
              <w:t xml:space="preserve"> </w:t>
            </w:r>
            <w:r>
              <w:rPr>
                <w:sz w:val="16"/>
              </w:rPr>
              <w:t>is</w:t>
            </w:r>
            <w:r>
              <w:rPr>
                <w:spacing w:val="-1"/>
                <w:sz w:val="16"/>
              </w:rPr>
              <w:t xml:space="preserve"> </w:t>
            </w:r>
            <w:r>
              <w:rPr>
                <w:sz w:val="16"/>
              </w:rPr>
              <w:t>true</w:t>
            </w:r>
            <w:r>
              <w:rPr>
                <w:spacing w:val="-1"/>
                <w:sz w:val="16"/>
              </w:rPr>
              <w:t xml:space="preserve"> </w:t>
            </w:r>
            <w:r>
              <w:rPr>
                <w:sz w:val="16"/>
              </w:rPr>
              <w:t>and</w:t>
            </w:r>
            <w:r>
              <w:rPr>
                <w:spacing w:val="-1"/>
                <w:sz w:val="16"/>
              </w:rPr>
              <w:t xml:space="preserve"> </w:t>
            </w:r>
            <w:r>
              <w:rPr>
                <w:spacing w:val="-2"/>
                <w:sz w:val="16"/>
              </w:rPr>
              <w:t>valid.</w:t>
            </w:r>
          </w:p>
        </w:tc>
      </w:tr>
      <w:tr w:rsidR="00C52843" w14:paraId="1F1E83F0" w14:textId="77777777">
        <w:trPr>
          <w:trHeight w:val="2297"/>
        </w:trPr>
        <w:tc>
          <w:tcPr>
            <w:tcW w:w="10087" w:type="dxa"/>
            <w:gridSpan w:val="5"/>
            <w:tcBorders>
              <w:top w:val="nil"/>
            </w:tcBorders>
          </w:tcPr>
          <w:p w14:paraId="1F1E83E7" w14:textId="77777777" w:rsidR="00C52843" w:rsidRDefault="000054FE">
            <w:pPr>
              <w:pStyle w:val="TableParagraph"/>
              <w:spacing w:line="181" w:lineRule="exact"/>
              <w:ind w:left="1481" w:right="1387"/>
              <w:jc w:val="center"/>
              <w:rPr>
                <w:b/>
                <w:sz w:val="16"/>
              </w:rPr>
            </w:pPr>
            <w:r>
              <w:rPr>
                <w:b/>
                <w:sz w:val="16"/>
              </w:rPr>
              <w:lastRenderedPageBreak/>
              <w:t xml:space="preserve">AND </w:t>
            </w:r>
            <w:r>
              <w:rPr>
                <w:b/>
                <w:spacing w:val="-2"/>
                <w:sz w:val="16"/>
              </w:rPr>
              <w:t>UNDERTAKES</w:t>
            </w:r>
          </w:p>
          <w:p w14:paraId="1F1E83E8" w14:textId="77777777" w:rsidR="00C52843" w:rsidRDefault="00C52843">
            <w:pPr>
              <w:pStyle w:val="TableParagraph"/>
              <w:ind w:left="0"/>
              <w:rPr>
                <w:b/>
                <w:sz w:val="16"/>
              </w:rPr>
            </w:pPr>
          </w:p>
          <w:p w14:paraId="1F1E83E9" w14:textId="77777777" w:rsidR="00C52843" w:rsidRDefault="000054FE">
            <w:pPr>
              <w:pStyle w:val="TableParagraph"/>
              <w:numPr>
                <w:ilvl w:val="0"/>
                <w:numId w:val="2"/>
              </w:numPr>
              <w:tabs>
                <w:tab w:val="left" w:pos="520"/>
              </w:tabs>
              <w:jc w:val="both"/>
              <w:rPr>
                <w:sz w:val="16"/>
              </w:rPr>
            </w:pPr>
            <w:r>
              <w:rPr>
                <w:sz w:val="16"/>
              </w:rPr>
              <w:t>To</w:t>
            </w:r>
            <w:r>
              <w:rPr>
                <w:spacing w:val="-2"/>
                <w:sz w:val="16"/>
              </w:rPr>
              <w:t xml:space="preserve"> </w:t>
            </w:r>
            <w:r>
              <w:rPr>
                <w:sz w:val="16"/>
              </w:rPr>
              <w:t>immediately</w:t>
            </w:r>
            <w:r>
              <w:rPr>
                <w:spacing w:val="-2"/>
                <w:sz w:val="16"/>
              </w:rPr>
              <w:t xml:space="preserve"> </w:t>
            </w:r>
            <w:r>
              <w:rPr>
                <w:sz w:val="16"/>
              </w:rPr>
              <w:t>notify the</w:t>
            </w:r>
            <w:r>
              <w:rPr>
                <w:spacing w:val="-1"/>
                <w:sz w:val="16"/>
              </w:rPr>
              <w:t xml:space="preserve"> </w:t>
            </w:r>
            <w:r>
              <w:rPr>
                <w:sz w:val="16"/>
              </w:rPr>
              <w:t>Addressee</w:t>
            </w:r>
            <w:r>
              <w:rPr>
                <w:spacing w:val="-1"/>
                <w:sz w:val="16"/>
              </w:rPr>
              <w:t xml:space="preserve"> </w:t>
            </w:r>
            <w:r>
              <w:rPr>
                <w:sz w:val="16"/>
              </w:rPr>
              <w:t>in</w:t>
            </w:r>
            <w:r>
              <w:rPr>
                <w:spacing w:val="-1"/>
                <w:sz w:val="16"/>
              </w:rPr>
              <w:t xml:space="preserve"> </w:t>
            </w:r>
            <w:r>
              <w:rPr>
                <w:sz w:val="16"/>
              </w:rPr>
              <w:t>field</w:t>
            </w:r>
            <w:r>
              <w:rPr>
                <w:spacing w:val="-2"/>
                <w:sz w:val="16"/>
              </w:rPr>
              <w:t xml:space="preserve"> </w:t>
            </w:r>
            <w:r>
              <w:rPr>
                <w:sz w:val="16"/>
              </w:rPr>
              <w:t>nr.</w:t>
            </w:r>
            <w:r>
              <w:rPr>
                <w:spacing w:val="-1"/>
                <w:sz w:val="16"/>
              </w:rPr>
              <w:t xml:space="preserve"> </w:t>
            </w:r>
            <w:r>
              <w:rPr>
                <w:sz w:val="16"/>
              </w:rPr>
              <w:t>1 if</w:t>
            </w:r>
            <w:r>
              <w:rPr>
                <w:spacing w:val="-3"/>
                <w:sz w:val="16"/>
              </w:rPr>
              <w:t xml:space="preserve"> </w:t>
            </w:r>
            <w:r>
              <w:rPr>
                <w:sz w:val="16"/>
              </w:rPr>
              <w:t>at</w:t>
            </w:r>
            <w:r>
              <w:rPr>
                <w:spacing w:val="-2"/>
                <w:sz w:val="16"/>
              </w:rPr>
              <w:t xml:space="preserve"> </w:t>
            </w:r>
            <w:r>
              <w:rPr>
                <w:sz w:val="16"/>
              </w:rPr>
              <w:t>any</w:t>
            </w:r>
            <w:r>
              <w:rPr>
                <w:spacing w:val="-2"/>
                <w:sz w:val="16"/>
              </w:rPr>
              <w:t xml:space="preserve"> </w:t>
            </w:r>
            <w:r>
              <w:rPr>
                <w:sz w:val="16"/>
              </w:rPr>
              <w:t>time</w:t>
            </w:r>
            <w:r>
              <w:rPr>
                <w:spacing w:val="-1"/>
                <w:sz w:val="16"/>
              </w:rPr>
              <w:t xml:space="preserve"> </w:t>
            </w:r>
            <w:r>
              <w:rPr>
                <w:sz w:val="16"/>
              </w:rPr>
              <w:t>any</w:t>
            </w:r>
            <w:r>
              <w:rPr>
                <w:spacing w:val="-1"/>
                <w:sz w:val="16"/>
              </w:rPr>
              <w:t xml:space="preserve"> </w:t>
            </w:r>
            <w:r>
              <w:rPr>
                <w:sz w:val="16"/>
              </w:rPr>
              <w:t>of</w:t>
            </w:r>
            <w:r>
              <w:rPr>
                <w:spacing w:val="-3"/>
                <w:sz w:val="16"/>
              </w:rPr>
              <w:t xml:space="preserve"> </w:t>
            </w:r>
            <w:r>
              <w:rPr>
                <w:sz w:val="16"/>
              </w:rPr>
              <w:t>the</w:t>
            </w:r>
            <w:r>
              <w:rPr>
                <w:spacing w:val="-1"/>
                <w:sz w:val="16"/>
              </w:rPr>
              <w:t xml:space="preserve"> </w:t>
            </w:r>
            <w:r>
              <w:rPr>
                <w:sz w:val="16"/>
              </w:rPr>
              <w:t>above</w:t>
            </w:r>
            <w:r>
              <w:rPr>
                <w:spacing w:val="-1"/>
                <w:sz w:val="16"/>
              </w:rPr>
              <w:t xml:space="preserve"> </w:t>
            </w:r>
            <w:r>
              <w:rPr>
                <w:sz w:val="16"/>
              </w:rPr>
              <w:t>declarations</w:t>
            </w:r>
            <w:r>
              <w:rPr>
                <w:spacing w:val="-4"/>
                <w:sz w:val="16"/>
              </w:rPr>
              <w:t xml:space="preserve"> </w:t>
            </w:r>
            <w:r>
              <w:rPr>
                <w:sz w:val="16"/>
              </w:rPr>
              <w:t>ceases to</w:t>
            </w:r>
            <w:r>
              <w:rPr>
                <w:spacing w:val="-1"/>
                <w:sz w:val="16"/>
              </w:rPr>
              <w:t xml:space="preserve"> </w:t>
            </w:r>
            <w:r>
              <w:rPr>
                <w:sz w:val="16"/>
              </w:rPr>
              <w:t>be</w:t>
            </w:r>
            <w:r>
              <w:rPr>
                <w:spacing w:val="-1"/>
                <w:sz w:val="16"/>
              </w:rPr>
              <w:t xml:space="preserve"> </w:t>
            </w:r>
            <w:r>
              <w:rPr>
                <w:sz w:val="16"/>
              </w:rPr>
              <w:t>true</w:t>
            </w:r>
            <w:r>
              <w:rPr>
                <w:spacing w:val="-1"/>
                <w:sz w:val="16"/>
              </w:rPr>
              <w:t xml:space="preserve"> </w:t>
            </w:r>
            <w:r>
              <w:rPr>
                <w:sz w:val="16"/>
              </w:rPr>
              <w:t>and</w:t>
            </w:r>
            <w:r>
              <w:rPr>
                <w:spacing w:val="-5"/>
                <w:sz w:val="16"/>
              </w:rPr>
              <w:t xml:space="preserve"> </w:t>
            </w:r>
            <w:r>
              <w:rPr>
                <w:sz w:val="16"/>
              </w:rPr>
              <w:t>correct</w:t>
            </w:r>
            <w:r>
              <w:rPr>
                <w:spacing w:val="-2"/>
                <w:sz w:val="16"/>
              </w:rPr>
              <w:t xml:space="preserve"> </w:t>
            </w:r>
            <w:r>
              <w:rPr>
                <w:spacing w:val="-4"/>
                <w:sz w:val="16"/>
              </w:rPr>
              <w:t>(5).</w:t>
            </w:r>
          </w:p>
          <w:p w14:paraId="1F1E83EA" w14:textId="77777777" w:rsidR="00C52843" w:rsidRDefault="000054FE">
            <w:pPr>
              <w:pStyle w:val="TableParagraph"/>
              <w:numPr>
                <w:ilvl w:val="0"/>
                <w:numId w:val="2"/>
              </w:numPr>
              <w:tabs>
                <w:tab w:val="left" w:pos="531"/>
              </w:tabs>
              <w:ind w:left="360" w:right="265" w:firstLine="0"/>
              <w:jc w:val="both"/>
              <w:rPr>
                <w:sz w:val="16"/>
              </w:rPr>
            </w:pPr>
            <w:r>
              <w:rPr>
                <w:sz w:val="16"/>
              </w:rPr>
              <w:t>To indemnify the Addressee in field nr. 1 on a continuous basis against any costs, expenses, liabilities and losses, including any penalties and</w:t>
            </w:r>
            <w:r>
              <w:rPr>
                <w:spacing w:val="40"/>
                <w:sz w:val="16"/>
              </w:rPr>
              <w:t xml:space="preserve"> </w:t>
            </w:r>
            <w:r>
              <w:rPr>
                <w:sz w:val="16"/>
              </w:rPr>
              <w:t>interest, that it suffers or incurs as a direct result of the declarations and/or undertaking being incorrect.</w:t>
            </w:r>
          </w:p>
          <w:p w14:paraId="1F1E83EB" w14:textId="77777777" w:rsidR="00C52843" w:rsidRDefault="00C52843">
            <w:pPr>
              <w:pStyle w:val="TableParagraph"/>
              <w:ind w:left="0"/>
              <w:rPr>
                <w:b/>
                <w:sz w:val="16"/>
              </w:rPr>
            </w:pPr>
          </w:p>
          <w:p w14:paraId="1F1E83EC" w14:textId="77777777" w:rsidR="00C52843" w:rsidRDefault="000054FE">
            <w:pPr>
              <w:pStyle w:val="TableParagraph"/>
              <w:ind w:left="1481" w:right="1387"/>
              <w:jc w:val="center"/>
              <w:rPr>
                <w:b/>
                <w:sz w:val="16"/>
              </w:rPr>
            </w:pPr>
            <w:r>
              <w:rPr>
                <w:b/>
                <w:sz w:val="16"/>
              </w:rPr>
              <w:t xml:space="preserve">AND </w:t>
            </w:r>
            <w:r>
              <w:rPr>
                <w:b/>
                <w:spacing w:val="-2"/>
                <w:sz w:val="16"/>
              </w:rPr>
              <w:t>ACKNOWLEDGES</w:t>
            </w:r>
          </w:p>
          <w:p w14:paraId="1F1E83ED" w14:textId="77777777" w:rsidR="00C52843" w:rsidRDefault="000054FE">
            <w:pPr>
              <w:pStyle w:val="TableParagraph"/>
              <w:ind w:left="360"/>
              <w:jc w:val="both"/>
              <w:rPr>
                <w:sz w:val="16"/>
              </w:rPr>
            </w:pPr>
            <w:r>
              <w:rPr>
                <w:sz w:val="16"/>
              </w:rPr>
              <w:t>That</w:t>
            </w:r>
            <w:r>
              <w:rPr>
                <w:spacing w:val="-5"/>
                <w:sz w:val="16"/>
              </w:rPr>
              <w:t xml:space="preserve"> </w:t>
            </w:r>
            <w:r>
              <w:rPr>
                <w:sz w:val="16"/>
              </w:rPr>
              <w:t>the Addressee</w:t>
            </w:r>
            <w:r>
              <w:rPr>
                <w:spacing w:val="1"/>
                <w:sz w:val="16"/>
              </w:rPr>
              <w:t xml:space="preserve"> </w:t>
            </w:r>
            <w:r>
              <w:rPr>
                <w:sz w:val="16"/>
              </w:rPr>
              <w:t>in</w:t>
            </w:r>
            <w:r>
              <w:rPr>
                <w:spacing w:val="-2"/>
                <w:sz w:val="16"/>
              </w:rPr>
              <w:t xml:space="preserve"> </w:t>
            </w:r>
            <w:r>
              <w:rPr>
                <w:sz w:val="16"/>
              </w:rPr>
              <w:t>field</w:t>
            </w:r>
            <w:r>
              <w:rPr>
                <w:spacing w:val="-2"/>
                <w:sz w:val="16"/>
              </w:rPr>
              <w:t xml:space="preserve"> </w:t>
            </w:r>
            <w:r>
              <w:rPr>
                <w:sz w:val="16"/>
              </w:rPr>
              <w:t>nr.</w:t>
            </w:r>
            <w:r>
              <w:rPr>
                <w:spacing w:val="-1"/>
                <w:sz w:val="16"/>
              </w:rPr>
              <w:t xml:space="preserve"> </w:t>
            </w:r>
            <w:r>
              <w:rPr>
                <w:spacing w:val="-5"/>
                <w:sz w:val="16"/>
              </w:rPr>
              <w:t>1:</w:t>
            </w:r>
          </w:p>
          <w:p w14:paraId="1F1E83EE" w14:textId="77777777" w:rsidR="00C52843" w:rsidRDefault="000054FE">
            <w:pPr>
              <w:pStyle w:val="TableParagraph"/>
              <w:numPr>
                <w:ilvl w:val="1"/>
                <w:numId w:val="2"/>
              </w:numPr>
              <w:tabs>
                <w:tab w:val="left" w:pos="524"/>
              </w:tabs>
              <w:ind w:right="267" w:firstLine="0"/>
              <w:jc w:val="both"/>
              <w:rPr>
                <w:sz w:val="16"/>
              </w:rPr>
            </w:pPr>
            <w:r>
              <w:rPr>
                <w:sz w:val="16"/>
              </w:rPr>
              <w:t>relies and will be relying on the above declarations and undertakings for not charging and for not paying to the Italian tax authorities the Italian</w:t>
            </w:r>
            <w:r>
              <w:rPr>
                <w:spacing w:val="40"/>
                <w:sz w:val="16"/>
              </w:rPr>
              <w:t xml:space="preserve"> </w:t>
            </w:r>
            <w:r>
              <w:rPr>
                <w:sz w:val="16"/>
              </w:rPr>
              <w:t>Financial Transaction</w:t>
            </w:r>
            <w:r>
              <w:rPr>
                <w:spacing w:val="-1"/>
                <w:sz w:val="16"/>
              </w:rPr>
              <w:t xml:space="preserve"> </w:t>
            </w:r>
            <w:r>
              <w:rPr>
                <w:sz w:val="16"/>
              </w:rPr>
              <w:t>Tax set forth by Art. 1, par from 491 to 500, of the Law 24 December 2012 n. 228 and by the Treasury Decree 21 February</w:t>
            </w:r>
            <w:r>
              <w:rPr>
                <w:spacing w:val="40"/>
                <w:sz w:val="16"/>
              </w:rPr>
              <w:t xml:space="preserve"> </w:t>
            </w:r>
            <w:r>
              <w:rPr>
                <w:sz w:val="16"/>
              </w:rPr>
              <w:t>2013, as from time to time amended and or supplemented, to all</w:t>
            </w:r>
            <w:r>
              <w:rPr>
                <w:spacing w:val="-1"/>
                <w:sz w:val="16"/>
              </w:rPr>
              <w:t xml:space="preserve"> </w:t>
            </w:r>
            <w:r>
              <w:rPr>
                <w:sz w:val="16"/>
              </w:rPr>
              <w:t>future transactions in chargeable equities and chargeable derivatives;</w:t>
            </w:r>
          </w:p>
          <w:p w14:paraId="1F1E83EF" w14:textId="77777777" w:rsidR="00C52843" w:rsidRDefault="000054FE">
            <w:pPr>
              <w:pStyle w:val="TableParagraph"/>
              <w:numPr>
                <w:ilvl w:val="1"/>
                <w:numId w:val="2"/>
              </w:numPr>
              <w:tabs>
                <w:tab w:val="left" w:pos="520"/>
              </w:tabs>
              <w:ind w:left="520" w:hanging="160"/>
              <w:jc w:val="both"/>
              <w:rPr>
                <w:sz w:val="16"/>
              </w:rPr>
            </w:pPr>
            <w:r>
              <w:rPr>
                <w:sz w:val="16"/>
              </w:rPr>
              <w:t>will</w:t>
            </w:r>
            <w:r>
              <w:rPr>
                <w:spacing w:val="-6"/>
                <w:sz w:val="16"/>
              </w:rPr>
              <w:t xml:space="preserve"> </w:t>
            </w:r>
            <w:r>
              <w:rPr>
                <w:sz w:val="16"/>
              </w:rPr>
              <w:t>enter</w:t>
            </w:r>
            <w:r>
              <w:rPr>
                <w:spacing w:val="-3"/>
                <w:sz w:val="16"/>
              </w:rPr>
              <w:t xml:space="preserve"> </w:t>
            </w:r>
            <w:r>
              <w:rPr>
                <w:sz w:val="16"/>
              </w:rPr>
              <w:t>into</w:t>
            </w:r>
            <w:r>
              <w:rPr>
                <w:spacing w:val="-3"/>
                <w:sz w:val="16"/>
              </w:rPr>
              <w:t xml:space="preserve"> </w:t>
            </w:r>
            <w:r>
              <w:rPr>
                <w:sz w:val="16"/>
              </w:rPr>
              <w:t>the</w:t>
            </w:r>
            <w:r>
              <w:rPr>
                <w:spacing w:val="-2"/>
                <w:sz w:val="16"/>
              </w:rPr>
              <w:t xml:space="preserve"> </w:t>
            </w:r>
            <w:r>
              <w:rPr>
                <w:sz w:val="16"/>
              </w:rPr>
              <w:t>transactions</w:t>
            </w:r>
            <w:r>
              <w:rPr>
                <w:spacing w:val="-1"/>
                <w:sz w:val="16"/>
              </w:rPr>
              <w:t xml:space="preserve"> </w:t>
            </w:r>
            <w:r>
              <w:rPr>
                <w:sz w:val="16"/>
              </w:rPr>
              <w:t>in</w:t>
            </w:r>
            <w:r>
              <w:rPr>
                <w:spacing w:val="-2"/>
                <w:sz w:val="16"/>
              </w:rPr>
              <w:t xml:space="preserve"> </w:t>
            </w:r>
            <w:r>
              <w:rPr>
                <w:sz w:val="16"/>
              </w:rPr>
              <w:t>chargeable</w:t>
            </w:r>
            <w:r>
              <w:rPr>
                <w:spacing w:val="-6"/>
                <w:sz w:val="16"/>
              </w:rPr>
              <w:t xml:space="preserve"> </w:t>
            </w:r>
            <w:r>
              <w:rPr>
                <w:sz w:val="16"/>
              </w:rPr>
              <w:t>equities</w:t>
            </w:r>
            <w:r>
              <w:rPr>
                <w:spacing w:val="-1"/>
                <w:sz w:val="16"/>
              </w:rPr>
              <w:t xml:space="preserve"> </w:t>
            </w:r>
            <w:r>
              <w:rPr>
                <w:sz w:val="16"/>
              </w:rPr>
              <w:t>and</w:t>
            </w:r>
            <w:r>
              <w:rPr>
                <w:spacing w:val="2"/>
                <w:sz w:val="16"/>
              </w:rPr>
              <w:t xml:space="preserve"> </w:t>
            </w:r>
            <w:r>
              <w:rPr>
                <w:sz w:val="16"/>
              </w:rPr>
              <w:t>chargeable derivatives in</w:t>
            </w:r>
            <w:r>
              <w:rPr>
                <w:spacing w:val="-3"/>
                <w:sz w:val="16"/>
              </w:rPr>
              <w:t xml:space="preserve"> </w:t>
            </w:r>
            <w:r>
              <w:rPr>
                <w:sz w:val="16"/>
              </w:rPr>
              <w:t>consideration</w:t>
            </w:r>
            <w:r>
              <w:rPr>
                <w:spacing w:val="-2"/>
                <w:sz w:val="16"/>
              </w:rPr>
              <w:t xml:space="preserve"> </w:t>
            </w:r>
            <w:r>
              <w:rPr>
                <w:sz w:val="16"/>
              </w:rPr>
              <w:t>of</w:t>
            </w:r>
            <w:r>
              <w:rPr>
                <w:spacing w:val="-4"/>
                <w:sz w:val="16"/>
              </w:rPr>
              <w:t xml:space="preserve"> </w:t>
            </w:r>
            <w:r>
              <w:rPr>
                <w:sz w:val="16"/>
              </w:rPr>
              <w:t>the</w:t>
            </w:r>
            <w:r>
              <w:rPr>
                <w:spacing w:val="-2"/>
                <w:sz w:val="16"/>
              </w:rPr>
              <w:t xml:space="preserve"> </w:t>
            </w:r>
            <w:r>
              <w:rPr>
                <w:sz w:val="16"/>
              </w:rPr>
              <w:t>above</w:t>
            </w:r>
            <w:r>
              <w:rPr>
                <w:spacing w:val="-2"/>
                <w:sz w:val="16"/>
              </w:rPr>
              <w:t xml:space="preserve"> undertakings.</w:t>
            </w:r>
          </w:p>
        </w:tc>
      </w:tr>
      <w:tr w:rsidR="00C52843" w14:paraId="1F1E83F7" w14:textId="77777777">
        <w:trPr>
          <w:trHeight w:val="1172"/>
        </w:trPr>
        <w:tc>
          <w:tcPr>
            <w:tcW w:w="5701" w:type="dxa"/>
            <w:gridSpan w:val="3"/>
            <w:tcBorders>
              <w:right w:val="nil"/>
            </w:tcBorders>
          </w:tcPr>
          <w:p w14:paraId="1F1E83F1" w14:textId="77777777" w:rsidR="00C52843" w:rsidRDefault="00C52843">
            <w:pPr>
              <w:pStyle w:val="TableParagraph"/>
              <w:spacing w:before="5"/>
              <w:ind w:left="0"/>
              <w:rPr>
                <w:b/>
                <w:sz w:val="16"/>
              </w:rPr>
            </w:pPr>
          </w:p>
          <w:p w14:paraId="1F1E83F2" w14:textId="77777777" w:rsidR="00C52843" w:rsidRDefault="000054FE">
            <w:pPr>
              <w:pStyle w:val="TableParagraph"/>
              <w:rPr>
                <w:sz w:val="16"/>
              </w:rPr>
            </w:pPr>
            <w:r>
              <w:rPr>
                <w:sz w:val="16"/>
              </w:rPr>
              <w:t>Signature</w:t>
            </w:r>
            <w:r>
              <w:rPr>
                <w:spacing w:val="-2"/>
                <w:sz w:val="16"/>
              </w:rPr>
              <w:t xml:space="preserve"> </w:t>
            </w:r>
            <w:r>
              <w:rPr>
                <w:sz w:val="16"/>
              </w:rPr>
              <w:t>for</w:t>
            </w:r>
            <w:r>
              <w:rPr>
                <w:spacing w:val="-3"/>
                <w:sz w:val="16"/>
              </w:rPr>
              <w:t xml:space="preserve"> </w:t>
            </w:r>
            <w:r>
              <w:rPr>
                <w:sz w:val="16"/>
              </w:rPr>
              <w:t>and</w:t>
            </w:r>
            <w:r>
              <w:rPr>
                <w:spacing w:val="-1"/>
                <w:sz w:val="16"/>
              </w:rPr>
              <w:t xml:space="preserve"> </w:t>
            </w:r>
            <w:r>
              <w:rPr>
                <w:sz w:val="16"/>
              </w:rPr>
              <w:t>on</w:t>
            </w:r>
            <w:r>
              <w:rPr>
                <w:spacing w:val="-1"/>
                <w:sz w:val="16"/>
              </w:rPr>
              <w:t xml:space="preserve"> </w:t>
            </w:r>
            <w:r>
              <w:rPr>
                <w:sz w:val="16"/>
              </w:rPr>
              <w:t>behalf</w:t>
            </w:r>
            <w:r>
              <w:rPr>
                <w:spacing w:val="-3"/>
                <w:sz w:val="16"/>
              </w:rPr>
              <w:t xml:space="preserve"> </w:t>
            </w:r>
            <w:r>
              <w:rPr>
                <w:sz w:val="16"/>
              </w:rPr>
              <w:t>of</w:t>
            </w:r>
            <w:r>
              <w:rPr>
                <w:spacing w:val="-3"/>
                <w:sz w:val="16"/>
              </w:rPr>
              <w:t xml:space="preserve"> </w:t>
            </w:r>
            <w:r>
              <w:rPr>
                <w:sz w:val="16"/>
              </w:rPr>
              <w:t>[name</w:t>
            </w:r>
            <w:r>
              <w:rPr>
                <w:spacing w:val="-1"/>
                <w:sz w:val="16"/>
              </w:rPr>
              <w:t xml:space="preserve"> </w:t>
            </w:r>
            <w:r>
              <w:rPr>
                <w:sz w:val="16"/>
              </w:rPr>
              <w:t>of</w:t>
            </w:r>
            <w:r>
              <w:rPr>
                <w:spacing w:val="-4"/>
                <w:sz w:val="16"/>
              </w:rPr>
              <w:t xml:space="preserve"> </w:t>
            </w:r>
            <w:r>
              <w:rPr>
                <w:sz w:val="16"/>
              </w:rPr>
              <w:t>entity</w:t>
            </w:r>
            <w:r>
              <w:rPr>
                <w:spacing w:val="-1"/>
                <w:sz w:val="16"/>
              </w:rPr>
              <w:t xml:space="preserve"> </w:t>
            </w:r>
            <w:r>
              <w:rPr>
                <w:sz w:val="16"/>
              </w:rPr>
              <w:t>in</w:t>
            </w:r>
            <w:r>
              <w:rPr>
                <w:spacing w:val="2"/>
                <w:sz w:val="16"/>
              </w:rPr>
              <w:t xml:space="preserve"> </w:t>
            </w:r>
            <w:r>
              <w:rPr>
                <w:sz w:val="16"/>
              </w:rPr>
              <w:t>field</w:t>
            </w:r>
            <w:r>
              <w:rPr>
                <w:spacing w:val="-2"/>
                <w:sz w:val="16"/>
              </w:rPr>
              <w:t xml:space="preserve"> </w:t>
            </w:r>
            <w:r>
              <w:rPr>
                <w:sz w:val="16"/>
              </w:rPr>
              <w:t>nr.</w:t>
            </w:r>
            <w:r>
              <w:rPr>
                <w:spacing w:val="2"/>
                <w:sz w:val="16"/>
              </w:rPr>
              <w:t xml:space="preserve"> </w:t>
            </w:r>
            <w:r>
              <w:rPr>
                <w:sz w:val="16"/>
              </w:rPr>
              <w:t>2</w:t>
            </w:r>
            <w:r>
              <w:rPr>
                <w:spacing w:val="-2"/>
                <w:sz w:val="16"/>
              </w:rPr>
              <w:t xml:space="preserve"> </w:t>
            </w:r>
            <w:r>
              <w:rPr>
                <w:sz w:val="16"/>
              </w:rPr>
              <w:t>or</w:t>
            </w:r>
            <w:r>
              <w:rPr>
                <w:spacing w:val="-3"/>
                <w:sz w:val="16"/>
              </w:rPr>
              <w:t xml:space="preserve"> </w:t>
            </w:r>
            <w:r>
              <w:rPr>
                <w:spacing w:val="-5"/>
                <w:sz w:val="16"/>
              </w:rPr>
              <w:t>4.]</w:t>
            </w:r>
          </w:p>
          <w:p w14:paraId="1F1E83F3" w14:textId="77777777" w:rsidR="00C52843" w:rsidRDefault="00C52843">
            <w:pPr>
              <w:pStyle w:val="TableParagraph"/>
              <w:spacing w:before="8"/>
              <w:ind w:left="0"/>
              <w:rPr>
                <w:b/>
                <w:sz w:val="17"/>
              </w:rPr>
            </w:pPr>
          </w:p>
          <w:p w14:paraId="1F1E83F4" w14:textId="77777777" w:rsidR="00C52843" w:rsidRDefault="000054FE">
            <w:pPr>
              <w:pStyle w:val="TableParagraph"/>
              <w:ind w:left="148"/>
              <w:rPr>
                <w:sz w:val="16"/>
              </w:rPr>
            </w:pPr>
            <w:r>
              <w:rPr>
                <w:spacing w:val="-2"/>
                <w:sz w:val="16"/>
              </w:rPr>
              <w:t>....................................................................................</w:t>
            </w:r>
          </w:p>
        </w:tc>
        <w:tc>
          <w:tcPr>
            <w:tcW w:w="4386" w:type="dxa"/>
            <w:gridSpan w:val="2"/>
            <w:tcBorders>
              <w:left w:val="nil"/>
            </w:tcBorders>
          </w:tcPr>
          <w:p w14:paraId="1F1E83F5" w14:textId="77777777" w:rsidR="00C52843" w:rsidRDefault="00C52843">
            <w:pPr>
              <w:pStyle w:val="TableParagraph"/>
              <w:spacing w:before="1"/>
              <w:ind w:left="0"/>
              <w:rPr>
                <w:b/>
                <w:sz w:val="16"/>
              </w:rPr>
            </w:pPr>
          </w:p>
          <w:p w14:paraId="1F1E83F6" w14:textId="77777777" w:rsidR="00C52843" w:rsidRDefault="000054FE">
            <w:pPr>
              <w:pStyle w:val="TableParagraph"/>
              <w:ind w:left="1437"/>
              <w:rPr>
                <w:sz w:val="16"/>
              </w:rPr>
            </w:pPr>
            <w:r>
              <w:rPr>
                <w:spacing w:val="-2"/>
                <w:sz w:val="16"/>
              </w:rPr>
              <w:t>Date..........................................................</w:t>
            </w:r>
          </w:p>
        </w:tc>
      </w:tr>
    </w:tbl>
    <w:p w14:paraId="1F1E83F8" w14:textId="77777777" w:rsidR="00C52843" w:rsidRDefault="00C52843">
      <w:pPr>
        <w:pStyle w:val="BodyText"/>
        <w:spacing w:before="1"/>
        <w:rPr>
          <w:b/>
          <w:sz w:val="12"/>
        </w:rPr>
      </w:pPr>
    </w:p>
    <w:p w14:paraId="1F1E83F9" w14:textId="77777777" w:rsidR="00C52843" w:rsidRPr="001B290E" w:rsidRDefault="000054FE">
      <w:pPr>
        <w:pStyle w:val="ListParagraph"/>
        <w:numPr>
          <w:ilvl w:val="0"/>
          <w:numId w:val="1"/>
        </w:numPr>
        <w:tabs>
          <w:tab w:val="left" w:pos="338"/>
        </w:tabs>
        <w:spacing w:before="94"/>
        <w:ind w:left="338" w:hanging="222"/>
        <w:rPr>
          <w:sz w:val="16"/>
        </w:rPr>
      </w:pPr>
      <w:r>
        <w:rPr>
          <w:sz w:val="16"/>
        </w:rPr>
        <w:t>Indicate</w:t>
      </w:r>
      <w:r>
        <w:rPr>
          <w:spacing w:val="-1"/>
          <w:sz w:val="16"/>
        </w:rPr>
        <w:t xml:space="preserve"> </w:t>
      </w:r>
      <w:r>
        <w:rPr>
          <w:sz w:val="16"/>
        </w:rPr>
        <w:t>the</w:t>
      </w:r>
      <w:r>
        <w:rPr>
          <w:spacing w:val="-2"/>
          <w:sz w:val="16"/>
        </w:rPr>
        <w:t xml:space="preserve"> </w:t>
      </w:r>
      <w:r>
        <w:rPr>
          <w:sz w:val="16"/>
        </w:rPr>
        <w:t>precise</w:t>
      </w:r>
      <w:r>
        <w:rPr>
          <w:spacing w:val="-1"/>
          <w:sz w:val="16"/>
        </w:rPr>
        <w:t xml:space="preserve"> </w:t>
      </w:r>
      <w:r>
        <w:rPr>
          <w:sz w:val="16"/>
        </w:rPr>
        <w:t>name</w:t>
      </w:r>
      <w:r>
        <w:rPr>
          <w:spacing w:val="-1"/>
          <w:sz w:val="16"/>
        </w:rPr>
        <w:t xml:space="preserve"> </w:t>
      </w:r>
      <w:r>
        <w:rPr>
          <w:sz w:val="16"/>
        </w:rPr>
        <w:t>of</w:t>
      </w:r>
      <w:r>
        <w:rPr>
          <w:spacing w:val="-2"/>
          <w:sz w:val="16"/>
        </w:rPr>
        <w:t xml:space="preserve"> </w:t>
      </w:r>
      <w:r>
        <w:rPr>
          <w:sz w:val="16"/>
        </w:rPr>
        <w:t>the</w:t>
      </w:r>
      <w:r>
        <w:rPr>
          <w:spacing w:val="-1"/>
          <w:sz w:val="16"/>
        </w:rPr>
        <w:t xml:space="preserve"> </w:t>
      </w:r>
      <w:r>
        <w:rPr>
          <w:spacing w:val="-2"/>
          <w:sz w:val="16"/>
        </w:rPr>
        <w:t>broker.</w:t>
      </w:r>
    </w:p>
    <w:p w14:paraId="476F48B4" w14:textId="77777777" w:rsidR="001B290E" w:rsidRDefault="001B290E" w:rsidP="001B290E">
      <w:pPr>
        <w:pStyle w:val="ListParagraph"/>
        <w:numPr>
          <w:ilvl w:val="0"/>
          <w:numId w:val="1"/>
        </w:numPr>
        <w:tabs>
          <w:tab w:val="left" w:pos="338"/>
        </w:tabs>
        <w:spacing w:before="82"/>
        <w:ind w:left="338" w:hanging="222"/>
        <w:rPr>
          <w:sz w:val="16"/>
        </w:rPr>
      </w:pPr>
      <w:r>
        <w:rPr>
          <w:sz w:val="16"/>
        </w:rPr>
        <w:t>For</w:t>
      </w:r>
      <w:r>
        <w:rPr>
          <w:spacing w:val="-3"/>
          <w:sz w:val="16"/>
        </w:rPr>
        <w:t xml:space="preserve"> </w:t>
      </w:r>
      <w:r>
        <w:rPr>
          <w:sz w:val="16"/>
        </w:rPr>
        <w:t>pension</w:t>
      </w:r>
      <w:r>
        <w:rPr>
          <w:spacing w:val="-1"/>
          <w:sz w:val="16"/>
        </w:rPr>
        <w:t xml:space="preserve"> </w:t>
      </w:r>
      <w:r>
        <w:rPr>
          <w:sz w:val="16"/>
        </w:rPr>
        <w:t>funds,</w:t>
      </w:r>
      <w:r>
        <w:rPr>
          <w:spacing w:val="-1"/>
          <w:sz w:val="16"/>
        </w:rPr>
        <w:t xml:space="preserve"> </w:t>
      </w:r>
      <w:r>
        <w:rPr>
          <w:sz w:val="16"/>
        </w:rPr>
        <w:t>enter</w:t>
      </w:r>
      <w:r>
        <w:rPr>
          <w:spacing w:val="-3"/>
          <w:sz w:val="16"/>
        </w:rPr>
        <w:t xml:space="preserve"> </w:t>
      </w:r>
      <w:r>
        <w:rPr>
          <w:sz w:val="16"/>
        </w:rPr>
        <w:t>here</w:t>
      </w:r>
      <w:r>
        <w:rPr>
          <w:spacing w:val="-1"/>
          <w:sz w:val="16"/>
        </w:rPr>
        <w:t xml:space="preserve"> </w:t>
      </w:r>
      <w:r>
        <w:rPr>
          <w:sz w:val="16"/>
        </w:rPr>
        <w:t>the legal</w:t>
      </w:r>
      <w:r>
        <w:rPr>
          <w:spacing w:val="-2"/>
          <w:sz w:val="16"/>
        </w:rPr>
        <w:t xml:space="preserve"> </w:t>
      </w:r>
      <w:r>
        <w:rPr>
          <w:sz w:val="16"/>
        </w:rPr>
        <w:t>name or</w:t>
      </w:r>
      <w:r>
        <w:rPr>
          <w:spacing w:val="-2"/>
          <w:sz w:val="16"/>
        </w:rPr>
        <w:t xml:space="preserve"> </w:t>
      </w:r>
      <w:r>
        <w:rPr>
          <w:sz w:val="16"/>
        </w:rPr>
        <w:t>account</w:t>
      </w:r>
      <w:r>
        <w:rPr>
          <w:spacing w:val="-2"/>
          <w:sz w:val="16"/>
        </w:rPr>
        <w:t xml:space="preserve"> </w:t>
      </w:r>
      <w:r>
        <w:rPr>
          <w:sz w:val="16"/>
        </w:rPr>
        <w:t>number(s)</w:t>
      </w:r>
      <w:r>
        <w:rPr>
          <w:spacing w:val="-1"/>
          <w:sz w:val="16"/>
        </w:rPr>
        <w:t xml:space="preserve"> </w:t>
      </w:r>
      <w:r>
        <w:rPr>
          <w:sz w:val="16"/>
        </w:rPr>
        <w:t>of</w:t>
      </w:r>
      <w:r>
        <w:rPr>
          <w:spacing w:val="-3"/>
          <w:sz w:val="16"/>
        </w:rPr>
        <w:t xml:space="preserve"> </w:t>
      </w:r>
      <w:r>
        <w:rPr>
          <w:sz w:val="16"/>
        </w:rPr>
        <w:t>the pension</w:t>
      </w:r>
      <w:r>
        <w:rPr>
          <w:spacing w:val="-1"/>
          <w:sz w:val="16"/>
        </w:rPr>
        <w:t xml:space="preserve"> </w:t>
      </w:r>
      <w:r>
        <w:rPr>
          <w:sz w:val="16"/>
        </w:rPr>
        <w:t>fund</w:t>
      </w:r>
      <w:r>
        <w:rPr>
          <w:spacing w:val="-1"/>
          <w:sz w:val="16"/>
        </w:rPr>
        <w:t xml:space="preserve"> </w:t>
      </w:r>
      <w:r>
        <w:rPr>
          <w:sz w:val="16"/>
        </w:rPr>
        <w:t>and,</w:t>
      </w:r>
      <w:r>
        <w:rPr>
          <w:spacing w:val="-1"/>
          <w:sz w:val="16"/>
        </w:rPr>
        <w:t xml:space="preserve"> </w:t>
      </w:r>
      <w:r>
        <w:rPr>
          <w:sz w:val="16"/>
        </w:rPr>
        <w:t>in</w:t>
      </w:r>
      <w:r>
        <w:rPr>
          <w:spacing w:val="-1"/>
          <w:sz w:val="16"/>
        </w:rPr>
        <w:t xml:space="preserve"> </w:t>
      </w:r>
      <w:r>
        <w:rPr>
          <w:sz w:val="16"/>
        </w:rPr>
        <w:t>field</w:t>
      </w:r>
      <w:r>
        <w:rPr>
          <w:spacing w:val="-1"/>
          <w:sz w:val="16"/>
        </w:rPr>
        <w:t xml:space="preserve"> </w:t>
      </w:r>
      <w:r>
        <w:rPr>
          <w:sz w:val="16"/>
        </w:rPr>
        <w:t>nr. 4,</w:t>
      </w:r>
      <w:r>
        <w:rPr>
          <w:spacing w:val="-1"/>
          <w:sz w:val="16"/>
        </w:rPr>
        <w:t xml:space="preserve"> </w:t>
      </w:r>
      <w:r>
        <w:rPr>
          <w:sz w:val="16"/>
        </w:rPr>
        <w:t>the</w:t>
      </w:r>
      <w:r>
        <w:rPr>
          <w:spacing w:val="-1"/>
          <w:sz w:val="16"/>
        </w:rPr>
        <w:t xml:space="preserve"> </w:t>
      </w:r>
      <w:r>
        <w:rPr>
          <w:sz w:val="16"/>
        </w:rPr>
        <w:t>legal</w:t>
      </w:r>
      <w:r>
        <w:rPr>
          <w:spacing w:val="-1"/>
          <w:sz w:val="16"/>
        </w:rPr>
        <w:t xml:space="preserve"> </w:t>
      </w:r>
      <w:r>
        <w:rPr>
          <w:sz w:val="16"/>
        </w:rPr>
        <w:t>name</w:t>
      </w:r>
      <w:r>
        <w:rPr>
          <w:spacing w:val="-1"/>
          <w:sz w:val="16"/>
        </w:rPr>
        <w:t xml:space="preserve"> </w:t>
      </w:r>
      <w:r>
        <w:rPr>
          <w:sz w:val="16"/>
        </w:rPr>
        <w:t>of</w:t>
      </w:r>
      <w:r>
        <w:rPr>
          <w:spacing w:val="-3"/>
          <w:sz w:val="16"/>
        </w:rPr>
        <w:t xml:space="preserve"> </w:t>
      </w:r>
      <w:r>
        <w:rPr>
          <w:sz w:val="16"/>
        </w:rPr>
        <w:t>the</w:t>
      </w:r>
      <w:r>
        <w:rPr>
          <w:spacing w:val="-1"/>
          <w:sz w:val="16"/>
        </w:rPr>
        <w:t xml:space="preserve"> </w:t>
      </w:r>
      <w:r>
        <w:rPr>
          <w:sz w:val="16"/>
        </w:rPr>
        <w:t>management</w:t>
      </w:r>
      <w:r>
        <w:rPr>
          <w:spacing w:val="-1"/>
          <w:sz w:val="16"/>
        </w:rPr>
        <w:t xml:space="preserve"> </w:t>
      </w:r>
      <w:r>
        <w:rPr>
          <w:spacing w:val="-2"/>
          <w:sz w:val="16"/>
        </w:rPr>
        <w:t>company.</w:t>
      </w:r>
    </w:p>
    <w:p w14:paraId="1344F52A" w14:textId="77777777" w:rsidR="001B290E" w:rsidRDefault="001B290E" w:rsidP="001B290E">
      <w:pPr>
        <w:pStyle w:val="ListParagraph"/>
        <w:numPr>
          <w:ilvl w:val="0"/>
          <w:numId w:val="1"/>
        </w:numPr>
        <w:tabs>
          <w:tab w:val="left" w:pos="338"/>
        </w:tabs>
        <w:spacing w:before="157"/>
        <w:ind w:left="338" w:hanging="222"/>
        <w:rPr>
          <w:sz w:val="16"/>
        </w:rPr>
      </w:pPr>
      <w:r>
        <w:rPr>
          <w:sz w:val="16"/>
        </w:rPr>
        <w:t>Indicate</w:t>
      </w:r>
      <w:r>
        <w:rPr>
          <w:spacing w:val="-2"/>
          <w:sz w:val="16"/>
        </w:rPr>
        <w:t xml:space="preserve"> </w:t>
      </w:r>
      <w:r>
        <w:rPr>
          <w:sz w:val="16"/>
        </w:rPr>
        <w:t>the</w:t>
      </w:r>
      <w:r>
        <w:rPr>
          <w:spacing w:val="-1"/>
          <w:sz w:val="16"/>
        </w:rPr>
        <w:t xml:space="preserve"> </w:t>
      </w:r>
      <w:r>
        <w:rPr>
          <w:sz w:val="16"/>
        </w:rPr>
        <w:t>required</w:t>
      </w:r>
      <w:r>
        <w:rPr>
          <w:spacing w:val="-2"/>
          <w:sz w:val="16"/>
        </w:rPr>
        <w:t xml:space="preserve"> </w:t>
      </w:r>
      <w:r>
        <w:rPr>
          <w:sz w:val="16"/>
        </w:rPr>
        <w:t>details of</w:t>
      </w:r>
      <w:r>
        <w:rPr>
          <w:spacing w:val="-3"/>
          <w:sz w:val="16"/>
        </w:rPr>
        <w:t xml:space="preserve"> </w:t>
      </w:r>
      <w:r>
        <w:rPr>
          <w:sz w:val="16"/>
        </w:rPr>
        <w:t>the</w:t>
      </w:r>
      <w:r>
        <w:rPr>
          <w:spacing w:val="-1"/>
          <w:sz w:val="16"/>
        </w:rPr>
        <w:t xml:space="preserve"> </w:t>
      </w:r>
      <w:r>
        <w:rPr>
          <w:sz w:val="16"/>
        </w:rPr>
        <w:t>Entity</w:t>
      </w:r>
      <w:r>
        <w:rPr>
          <w:spacing w:val="-1"/>
          <w:sz w:val="16"/>
        </w:rPr>
        <w:t xml:space="preserve"> </w:t>
      </w:r>
      <w:r>
        <w:rPr>
          <w:sz w:val="16"/>
        </w:rPr>
        <w:t>in</w:t>
      </w:r>
      <w:r>
        <w:rPr>
          <w:spacing w:val="-2"/>
          <w:sz w:val="16"/>
        </w:rPr>
        <w:t xml:space="preserve"> </w:t>
      </w:r>
      <w:r>
        <w:rPr>
          <w:sz w:val="16"/>
        </w:rPr>
        <w:t>field</w:t>
      </w:r>
      <w:r>
        <w:rPr>
          <w:spacing w:val="-2"/>
          <w:sz w:val="16"/>
        </w:rPr>
        <w:t xml:space="preserve"> </w:t>
      </w:r>
      <w:r>
        <w:rPr>
          <w:sz w:val="16"/>
        </w:rPr>
        <w:t>nr.</w:t>
      </w:r>
      <w:r>
        <w:rPr>
          <w:spacing w:val="-1"/>
          <w:sz w:val="16"/>
        </w:rPr>
        <w:t xml:space="preserve"> </w:t>
      </w:r>
      <w:r>
        <w:rPr>
          <w:spacing w:val="-5"/>
          <w:sz w:val="16"/>
        </w:rPr>
        <w:t>2.</w:t>
      </w:r>
    </w:p>
    <w:p w14:paraId="577E0294" w14:textId="77777777" w:rsidR="001B290E" w:rsidRDefault="001B290E" w:rsidP="001B290E">
      <w:pPr>
        <w:pStyle w:val="BodyText"/>
        <w:spacing w:before="11"/>
        <w:rPr>
          <w:sz w:val="15"/>
        </w:rPr>
      </w:pPr>
    </w:p>
    <w:p w14:paraId="1835DC0F" w14:textId="77777777" w:rsidR="001B290E" w:rsidRDefault="001B290E" w:rsidP="001B290E">
      <w:pPr>
        <w:pStyle w:val="ListParagraph"/>
        <w:numPr>
          <w:ilvl w:val="0"/>
          <w:numId w:val="1"/>
        </w:numPr>
        <w:tabs>
          <w:tab w:val="left" w:pos="358"/>
        </w:tabs>
        <w:spacing w:line="208" w:lineRule="auto"/>
        <w:ind w:left="116" w:right="139" w:firstLine="0"/>
        <w:rPr>
          <w:sz w:val="16"/>
        </w:rPr>
      </w:pPr>
      <w:r>
        <w:rPr>
          <w:sz w:val="16"/>
        </w:rPr>
        <w:t>If</w:t>
      </w:r>
      <w:r>
        <w:rPr>
          <w:spacing w:val="21"/>
          <w:sz w:val="16"/>
        </w:rPr>
        <w:t xml:space="preserve"> </w:t>
      </w:r>
      <w:r>
        <w:rPr>
          <w:sz w:val="16"/>
        </w:rPr>
        <w:t>the</w:t>
      </w:r>
      <w:r>
        <w:rPr>
          <w:spacing w:val="19"/>
          <w:sz w:val="16"/>
        </w:rPr>
        <w:t xml:space="preserve"> </w:t>
      </w:r>
      <w:r>
        <w:rPr>
          <w:sz w:val="16"/>
        </w:rPr>
        <w:t>Entity</w:t>
      </w:r>
      <w:r>
        <w:rPr>
          <w:spacing w:val="18"/>
          <w:sz w:val="16"/>
        </w:rPr>
        <w:t xml:space="preserve"> </w:t>
      </w:r>
      <w:r>
        <w:rPr>
          <w:sz w:val="16"/>
        </w:rPr>
        <w:t>in</w:t>
      </w:r>
      <w:r>
        <w:rPr>
          <w:spacing w:val="22"/>
          <w:sz w:val="16"/>
        </w:rPr>
        <w:t xml:space="preserve"> </w:t>
      </w:r>
      <w:r>
        <w:rPr>
          <w:sz w:val="16"/>
        </w:rPr>
        <w:t>field</w:t>
      </w:r>
      <w:r>
        <w:rPr>
          <w:spacing w:val="18"/>
          <w:sz w:val="16"/>
        </w:rPr>
        <w:t xml:space="preserve"> </w:t>
      </w:r>
      <w:r>
        <w:rPr>
          <w:sz w:val="16"/>
        </w:rPr>
        <w:t>nr.</w:t>
      </w:r>
      <w:r>
        <w:rPr>
          <w:spacing w:val="21"/>
          <w:sz w:val="16"/>
        </w:rPr>
        <w:t xml:space="preserve"> </w:t>
      </w:r>
      <w:r>
        <w:rPr>
          <w:sz w:val="16"/>
        </w:rPr>
        <w:t>2</w:t>
      </w:r>
      <w:r>
        <w:rPr>
          <w:spacing w:val="23"/>
          <w:sz w:val="16"/>
        </w:rPr>
        <w:t xml:space="preserve"> </w:t>
      </w:r>
      <w:r>
        <w:rPr>
          <w:sz w:val="16"/>
        </w:rPr>
        <w:t>is</w:t>
      </w:r>
      <w:r>
        <w:rPr>
          <w:spacing w:val="19"/>
          <w:sz w:val="16"/>
        </w:rPr>
        <w:t xml:space="preserve"> </w:t>
      </w:r>
      <w:r>
        <w:rPr>
          <w:sz w:val="16"/>
        </w:rPr>
        <w:t>a</w:t>
      </w:r>
      <w:r>
        <w:rPr>
          <w:spacing w:val="19"/>
          <w:sz w:val="16"/>
        </w:rPr>
        <w:t xml:space="preserve"> </w:t>
      </w:r>
      <w:r>
        <w:rPr>
          <w:sz w:val="16"/>
        </w:rPr>
        <w:t>pension</w:t>
      </w:r>
      <w:r>
        <w:rPr>
          <w:spacing w:val="18"/>
          <w:sz w:val="16"/>
        </w:rPr>
        <w:t xml:space="preserve"> </w:t>
      </w:r>
      <w:r>
        <w:rPr>
          <w:sz w:val="16"/>
        </w:rPr>
        <w:t>fund</w:t>
      </w:r>
      <w:r>
        <w:rPr>
          <w:spacing w:val="20"/>
          <w:sz w:val="16"/>
        </w:rPr>
        <w:t xml:space="preserve"> </w:t>
      </w:r>
      <w:r>
        <w:rPr>
          <w:sz w:val="16"/>
        </w:rPr>
        <w:t>or</w:t>
      </w:r>
      <w:r>
        <w:rPr>
          <w:spacing w:val="17"/>
          <w:sz w:val="16"/>
        </w:rPr>
        <w:t xml:space="preserve"> </w:t>
      </w:r>
      <w:r>
        <w:rPr>
          <w:sz w:val="16"/>
        </w:rPr>
        <w:t>the</w:t>
      </w:r>
      <w:r>
        <w:rPr>
          <w:spacing w:val="19"/>
          <w:sz w:val="16"/>
        </w:rPr>
        <w:t xml:space="preserve"> </w:t>
      </w:r>
      <w:r>
        <w:rPr>
          <w:sz w:val="16"/>
        </w:rPr>
        <w:t>account(s)</w:t>
      </w:r>
      <w:r>
        <w:rPr>
          <w:spacing w:val="17"/>
          <w:sz w:val="16"/>
        </w:rPr>
        <w:t xml:space="preserve"> </w:t>
      </w:r>
      <w:r>
        <w:rPr>
          <w:sz w:val="16"/>
        </w:rPr>
        <w:t>in</w:t>
      </w:r>
      <w:r>
        <w:rPr>
          <w:spacing w:val="20"/>
          <w:sz w:val="16"/>
        </w:rPr>
        <w:t xml:space="preserve"> </w:t>
      </w:r>
      <w:r>
        <w:rPr>
          <w:sz w:val="16"/>
        </w:rPr>
        <w:t>field</w:t>
      </w:r>
      <w:r>
        <w:rPr>
          <w:spacing w:val="18"/>
          <w:sz w:val="16"/>
        </w:rPr>
        <w:t xml:space="preserve"> </w:t>
      </w:r>
      <w:r>
        <w:rPr>
          <w:sz w:val="16"/>
        </w:rPr>
        <w:t>nr.</w:t>
      </w:r>
      <w:r>
        <w:rPr>
          <w:spacing w:val="19"/>
          <w:sz w:val="16"/>
        </w:rPr>
        <w:t xml:space="preserve"> </w:t>
      </w:r>
      <w:r>
        <w:rPr>
          <w:sz w:val="16"/>
        </w:rPr>
        <w:t>2</w:t>
      </w:r>
      <w:r>
        <w:rPr>
          <w:spacing w:val="23"/>
          <w:sz w:val="16"/>
        </w:rPr>
        <w:t xml:space="preserve"> </w:t>
      </w:r>
      <w:r>
        <w:rPr>
          <w:sz w:val="16"/>
        </w:rPr>
        <w:t>relate</w:t>
      </w:r>
      <w:r>
        <w:rPr>
          <w:spacing w:val="19"/>
          <w:sz w:val="16"/>
        </w:rPr>
        <w:t xml:space="preserve"> </w:t>
      </w:r>
      <w:r>
        <w:rPr>
          <w:sz w:val="16"/>
        </w:rPr>
        <w:t>to</w:t>
      </w:r>
      <w:r>
        <w:rPr>
          <w:spacing w:val="18"/>
          <w:sz w:val="16"/>
        </w:rPr>
        <w:t xml:space="preserve"> </w:t>
      </w:r>
      <w:r>
        <w:rPr>
          <w:sz w:val="16"/>
        </w:rPr>
        <w:t>a</w:t>
      </w:r>
      <w:r>
        <w:rPr>
          <w:spacing w:val="19"/>
          <w:sz w:val="16"/>
        </w:rPr>
        <w:t xml:space="preserve"> </w:t>
      </w:r>
      <w:r>
        <w:rPr>
          <w:sz w:val="16"/>
        </w:rPr>
        <w:t>pension</w:t>
      </w:r>
      <w:r>
        <w:rPr>
          <w:spacing w:val="18"/>
          <w:sz w:val="16"/>
        </w:rPr>
        <w:t xml:space="preserve"> </w:t>
      </w:r>
      <w:r>
        <w:rPr>
          <w:sz w:val="16"/>
        </w:rPr>
        <w:t>fund,</w:t>
      </w:r>
      <w:r>
        <w:rPr>
          <w:spacing w:val="18"/>
          <w:sz w:val="16"/>
        </w:rPr>
        <w:t xml:space="preserve"> </w:t>
      </w:r>
      <w:r>
        <w:rPr>
          <w:sz w:val="16"/>
        </w:rPr>
        <w:t>enter</w:t>
      </w:r>
      <w:r>
        <w:rPr>
          <w:spacing w:val="17"/>
          <w:sz w:val="16"/>
        </w:rPr>
        <w:t xml:space="preserve"> </w:t>
      </w:r>
      <w:r>
        <w:rPr>
          <w:sz w:val="16"/>
        </w:rPr>
        <w:t>here</w:t>
      </w:r>
      <w:r>
        <w:rPr>
          <w:spacing w:val="19"/>
          <w:sz w:val="16"/>
        </w:rPr>
        <w:t xml:space="preserve"> </w:t>
      </w:r>
      <w:r>
        <w:rPr>
          <w:sz w:val="16"/>
        </w:rPr>
        <w:t>the</w:t>
      </w:r>
      <w:r>
        <w:rPr>
          <w:spacing w:val="19"/>
          <w:sz w:val="16"/>
        </w:rPr>
        <w:t xml:space="preserve"> </w:t>
      </w:r>
      <w:r>
        <w:rPr>
          <w:sz w:val="16"/>
        </w:rPr>
        <w:t>legal</w:t>
      </w:r>
      <w:r>
        <w:rPr>
          <w:spacing w:val="18"/>
          <w:sz w:val="16"/>
        </w:rPr>
        <w:t xml:space="preserve"> </w:t>
      </w:r>
      <w:r>
        <w:rPr>
          <w:sz w:val="16"/>
        </w:rPr>
        <w:t>name</w:t>
      </w:r>
      <w:r>
        <w:rPr>
          <w:spacing w:val="19"/>
          <w:sz w:val="16"/>
        </w:rPr>
        <w:t xml:space="preserve"> </w:t>
      </w:r>
      <w:r>
        <w:rPr>
          <w:sz w:val="16"/>
        </w:rPr>
        <w:t>of</w:t>
      </w:r>
      <w:r>
        <w:rPr>
          <w:spacing w:val="17"/>
          <w:sz w:val="16"/>
        </w:rPr>
        <w:t xml:space="preserve"> </w:t>
      </w:r>
      <w:r>
        <w:rPr>
          <w:sz w:val="16"/>
        </w:rPr>
        <w:t>the</w:t>
      </w:r>
      <w:r>
        <w:rPr>
          <w:spacing w:val="19"/>
          <w:sz w:val="16"/>
        </w:rPr>
        <w:t xml:space="preserve"> </w:t>
      </w:r>
      <w:r>
        <w:rPr>
          <w:sz w:val="16"/>
        </w:rPr>
        <w:t>management</w:t>
      </w:r>
      <w:r>
        <w:rPr>
          <w:spacing w:val="40"/>
          <w:sz w:val="16"/>
        </w:rPr>
        <w:t xml:space="preserve"> </w:t>
      </w:r>
      <w:r>
        <w:rPr>
          <w:spacing w:val="-2"/>
          <w:sz w:val="16"/>
        </w:rPr>
        <w:t>company.</w:t>
      </w:r>
    </w:p>
    <w:p w14:paraId="6547DB54" w14:textId="77777777" w:rsidR="001B290E" w:rsidRDefault="001B290E" w:rsidP="001B290E">
      <w:pPr>
        <w:pStyle w:val="BodyText"/>
      </w:pPr>
    </w:p>
    <w:p w14:paraId="10B601FB" w14:textId="77777777" w:rsidR="001B290E" w:rsidRDefault="001B290E" w:rsidP="001B290E">
      <w:pPr>
        <w:pStyle w:val="ListParagraph"/>
        <w:numPr>
          <w:ilvl w:val="0"/>
          <w:numId w:val="1"/>
        </w:numPr>
        <w:tabs>
          <w:tab w:val="left" w:pos="338"/>
        </w:tabs>
        <w:ind w:left="338" w:hanging="222"/>
        <w:rPr>
          <w:sz w:val="16"/>
        </w:rPr>
      </w:pPr>
      <w:r>
        <w:rPr>
          <w:sz w:val="16"/>
        </w:rPr>
        <w:t>Such</w:t>
      </w:r>
      <w:r>
        <w:rPr>
          <w:spacing w:val="-1"/>
          <w:sz w:val="16"/>
        </w:rPr>
        <w:t xml:space="preserve"> </w:t>
      </w:r>
      <w:r>
        <w:rPr>
          <w:sz w:val="16"/>
        </w:rPr>
        <w:t>notifications shall</w:t>
      </w:r>
      <w:r>
        <w:rPr>
          <w:spacing w:val="-2"/>
          <w:sz w:val="16"/>
        </w:rPr>
        <w:t xml:space="preserve"> </w:t>
      </w:r>
      <w:r>
        <w:rPr>
          <w:sz w:val="16"/>
        </w:rPr>
        <w:t>be</w:t>
      </w:r>
      <w:r>
        <w:rPr>
          <w:spacing w:val="-1"/>
          <w:sz w:val="16"/>
        </w:rPr>
        <w:t xml:space="preserve"> </w:t>
      </w:r>
      <w:r>
        <w:rPr>
          <w:sz w:val="16"/>
        </w:rPr>
        <w:t>sent</w:t>
      </w:r>
      <w:r>
        <w:rPr>
          <w:spacing w:val="-2"/>
          <w:sz w:val="16"/>
        </w:rPr>
        <w:t xml:space="preserve"> </w:t>
      </w:r>
      <w:r>
        <w:rPr>
          <w:sz w:val="16"/>
        </w:rPr>
        <w:t>to</w:t>
      </w:r>
      <w:r>
        <w:rPr>
          <w:spacing w:val="1"/>
          <w:sz w:val="16"/>
        </w:rPr>
        <w:t xml:space="preserve"> </w:t>
      </w:r>
      <w:r>
        <w:rPr>
          <w:sz w:val="16"/>
        </w:rPr>
        <w:t>the</w:t>
      </w:r>
      <w:r>
        <w:rPr>
          <w:spacing w:val="-1"/>
          <w:sz w:val="16"/>
        </w:rPr>
        <w:t xml:space="preserve"> </w:t>
      </w:r>
      <w:r>
        <w:rPr>
          <w:sz w:val="16"/>
        </w:rPr>
        <w:t>same</w:t>
      </w:r>
      <w:r>
        <w:rPr>
          <w:spacing w:val="-4"/>
          <w:sz w:val="16"/>
        </w:rPr>
        <w:t xml:space="preserve"> </w:t>
      </w:r>
      <w:r>
        <w:rPr>
          <w:sz w:val="16"/>
        </w:rPr>
        <w:t>Addressee</w:t>
      </w:r>
      <w:r>
        <w:rPr>
          <w:spacing w:val="-1"/>
          <w:sz w:val="16"/>
        </w:rPr>
        <w:t xml:space="preserve"> </w:t>
      </w:r>
      <w:r>
        <w:rPr>
          <w:sz w:val="16"/>
        </w:rPr>
        <w:t>of</w:t>
      </w:r>
      <w:r>
        <w:rPr>
          <w:spacing w:val="-3"/>
          <w:sz w:val="16"/>
        </w:rPr>
        <w:t xml:space="preserve"> </w:t>
      </w:r>
      <w:r>
        <w:rPr>
          <w:sz w:val="16"/>
        </w:rPr>
        <w:t>this</w:t>
      </w:r>
      <w:r>
        <w:rPr>
          <w:spacing w:val="1"/>
          <w:sz w:val="16"/>
        </w:rPr>
        <w:t xml:space="preserve"> </w:t>
      </w:r>
      <w:r>
        <w:rPr>
          <w:spacing w:val="-4"/>
          <w:sz w:val="16"/>
        </w:rPr>
        <w:t>Form.</w:t>
      </w:r>
    </w:p>
    <w:p w14:paraId="1F1E83FA" w14:textId="77777777" w:rsidR="00C52843" w:rsidRDefault="00C52843">
      <w:pPr>
        <w:rPr>
          <w:sz w:val="16"/>
        </w:rPr>
        <w:sectPr w:rsidR="00C52843" w:rsidSect="001B290E">
          <w:headerReference w:type="first" r:id="rId10"/>
          <w:type w:val="continuous"/>
          <w:pgSz w:w="11910" w:h="16840"/>
          <w:pgMar w:top="800" w:right="880" w:bottom="280" w:left="720" w:header="720" w:footer="720" w:gutter="0"/>
          <w:cols w:space="720"/>
          <w:titlePg/>
          <w:docGrid w:linePitch="299"/>
        </w:sectPr>
      </w:pPr>
    </w:p>
    <w:p w14:paraId="5FAEF415" w14:textId="77777777" w:rsidR="00F9411A" w:rsidRPr="009D0F23" w:rsidRDefault="00F9411A" w:rsidP="00F9411A">
      <w:pPr>
        <w:pStyle w:val="Header"/>
        <w:jc w:val="center"/>
        <w:rPr>
          <w:b/>
          <w:bCs/>
        </w:rPr>
      </w:pPr>
      <w:r>
        <w:rPr>
          <w:b/>
          <w:bCs/>
        </w:rPr>
        <w:lastRenderedPageBreak/>
        <w:t>ATTACHMENT 1</w:t>
      </w:r>
    </w:p>
    <w:p w14:paraId="3E2F02B0" w14:textId="77777777" w:rsidR="00F9411A" w:rsidRDefault="00F9411A" w:rsidP="00C77AE3">
      <w:pPr>
        <w:widowControl/>
        <w:autoSpaceDE/>
        <w:autoSpaceDN/>
        <w:jc w:val="both"/>
        <w:rPr>
          <w:sz w:val="24"/>
          <w:szCs w:val="24"/>
          <w:lang w:val="en-GB"/>
        </w:rPr>
      </w:pPr>
    </w:p>
    <w:p w14:paraId="4F573592" w14:textId="77777777" w:rsidR="00F9411A" w:rsidRDefault="00F9411A" w:rsidP="00C77AE3">
      <w:pPr>
        <w:widowControl/>
        <w:autoSpaceDE/>
        <w:autoSpaceDN/>
        <w:jc w:val="both"/>
        <w:rPr>
          <w:sz w:val="24"/>
          <w:szCs w:val="24"/>
          <w:lang w:val="en-GB"/>
        </w:rPr>
      </w:pPr>
    </w:p>
    <w:p w14:paraId="75802C3E" w14:textId="2C86EDA2" w:rsidR="00C77AE3" w:rsidRPr="000C156A" w:rsidRDefault="00C77AE3" w:rsidP="00C77AE3">
      <w:pPr>
        <w:widowControl/>
        <w:autoSpaceDE/>
        <w:autoSpaceDN/>
        <w:jc w:val="both"/>
        <w:rPr>
          <w:sz w:val="24"/>
          <w:szCs w:val="24"/>
          <w:lang w:val="en-GB"/>
        </w:rPr>
      </w:pPr>
      <w:r w:rsidRPr="000C156A">
        <w:rPr>
          <w:sz w:val="24"/>
          <w:szCs w:val="24"/>
          <w:lang w:val="en-GB"/>
        </w:rPr>
        <w:t xml:space="preserve">Art. 16(1)(a)(4) of the Treasury Decree exempts from the FTT equity and equity derivatives trades having as counterparts bodies or international organizations established in accordance with international agreements enforced in Italy. A specific decision of the Director of the Central Revenue Agency </w:t>
      </w:r>
      <w:r w:rsidRPr="000C156A">
        <w:rPr>
          <w:i/>
          <w:iCs/>
          <w:sz w:val="24"/>
          <w:szCs w:val="24"/>
          <w:lang w:val="en-GB"/>
        </w:rPr>
        <w:t>(</w:t>
      </w:r>
      <w:proofErr w:type="spellStart"/>
      <w:r w:rsidRPr="000C156A">
        <w:rPr>
          <w:i/>
          <w:iCs/>
          <w:sz w:val="24"/>
          <w:szCs w:val="24"/>
          <w:lang w:val="en-GB"/>
        </w:rPr>
        <w:t>Agenzia</w:t>
      </w:r>
      <w:proofErr w:type="spellEnd"/>
      <w:r w:rsidRPr="000C156A">
        <w:rPr>
          <w:i/>
          <w:iCs/>
          <w:sz w:val="24"/>
          <w:szCs w:val="24"/>
          <w:lang w:val="en-GB"/>
        </w:rPr>
        <w:t xml:space="preserve"> </w:t>
      </w:r>
      <w:proofErr w:type="spellStart"/>
      <w:r w:rsidRPr="000C156A">
        <w:rPr>
          <w:i/>
          <w:iCs/>
          <w:sz w:val="24"/>
          <w:szCs w:val="24"/>
          <w:lang w:val="en-GB"/>
        </w:rPr>
        <w:t>delle</w:t>
      </w:r>
      <w:proofErr w:type="spellEnd"/>
      <w:r w:rsidRPr="000C156A">
        <w:rPr>
          <w:i/>
          <w:iCs/>
          <w:sz w:val="24"/>
          <w:szCs w:val="24"/>
          <w:lang w:val="en-GB"/>
        </w:rPr>
        <w:t xml:space="preserve"> </w:t>
      </w:r>
      <w:proofErr w:type="spellStart"/>
      <w:r w:rsidRPr="000C156A">
        <w:rPr>
          <w:i/>
          <w:iCs/>
          <w:sz w:val="24"/>
          <w:szCs w:val="24"/>
          <w:lang w:val="en-GB"/>
        </w:rPr>
        <w:t>Entrate</w:t>
      </w:r>
      <w:proofErr w:type="spellEnd"/>
      <w:r w:rsidRPr="000C156A">
        <w:rPr>
          <w:i/>
          <w:iCs/>
          <w:sz w:val="24"/>
          <w:szCs w:val="24"/>
          <w:lang w:val="en-GB"/>
        </w:rPr>
        <w:t xml:space="preserve">) </w:t>
      </w:r>
      <w:r w:rsidRPr="000C156A">
        <w:rPr>
          <w:sz w:val="24"/>
          <w:szCs w:val="24"/>
          <w:lang w:val="en-GB"/>
        </w:rPr>
        <w:t>may give notice of the above agreements.</w:t>
      </w:r>
    </w:p>
    <w:p w14:paraId="512E36EA" w14:textId="77777777" w:rsidR="00C77AE3" w:rsidRPr="000C156A" w:rsidRDefault="00C77AE3" w:rsidP="00C77AE3">
      <w:pPr>
        <w:widowControl/>
        <w:autoSpaceDE/>
        <w:autoSpaceDN/>
        <w:jc w:val="both"/>
        <w:rPr>
          <w:sz w:val="24"/>
          <w:szCs w:val="24"/>
          <w:lang w:val="en-GB"/>
        </w:rPr>
      </w:pPr>
      <w:r w:rsidRPr="000C156A">
        <w:rPr>
          <w:sz w:val="24"/>
          <w:szCs w:val="24"/>
          <w:lang w:val="en-GB"/>
        </w:rPr>
        <w:t> </w:t>
      </w:r>
    </w:p>
    <w:p w14:paraId="74FD9A87" w14:textId="77777777" w:rsidR="00C77AE3" w:rsidRPr="000C156A" w:rsidRDefault="00C77AE3" w:rsidP="00C77AE3">
      <w:pPr>
        <w:widowControl/>
        <w:autoSpaceDE/>
        <w:autoSpaceDN/>
        <w:jc w:val="both"/>
        <w:rPr>
          <w:sz w:val="24"/>
          <w:szCs w:val="24"/>
          <w:lang w:val="en-GB"/>
        </w:rPr>
      </w:pPr>
      <w:r w:rsidRPr="000C156A">
        <w:rPr>
          <w:sz w:val="24"/>
          <w:szCs w:val="24"/>
          <w:lang w:val="en-GB"/>
        </w:rPr>
        <w:t xml:space="preserve">The Explanatory Memorandum to the Treasury Decree states that pending the enactment of the above mentioned decision of the </w:t>
      </w:r>
      <w:proofErr w:type="spellStart"/>
      <w:r w:rsidRPr="000C156A">
        <w:rPr>
          <w:i/>
          <w:iCs/>
          <w:sz w:val="24"/>
          <w:szCs w:val="24"/>
          <w:lang w:val="en-GB"/>
        </w:rPr>
        <w:t>Agenzia</w:t>
      </w:r>
      <w:proofErr w:type="spellEnd"/>
      <w:r w:rsidRPr="000C156A">
        <w:rPr>
          <w:i/>
          <w:iCs/>
          <w:sz w:val="24"/>
          <w:szCs w:val="24"/>
          <w:lang w:val="en-GB"/>
        </w:rPr>
        <w:t xml:space="preserve"> </w:t>
      </w:r>
      <w:proofErr w:type="spellStart"/>
      <w:r w:rsidRPr="000C156A">
        <w:rPr>
          <w:i/>
          <w:iCs/>
          <w:sz w:val="24"/>
          <w:szCs w:val="24"/>
          <w:lang w:val="en-GB"/>
        </w:rPr>
        <w:t>delle</w:t>
      </w:r>
      <w:proofErr w:type="spellEnd"/>
      <w:r w:rsidRPr="000C156A">
        <w:rPr>
          <w:i/>
          <w:iCs/>
          <w:sz w:val="24"/>
          <w:szCs w:val="24"/>
          <w:lang w:val="en-GB"/>
        </w:rPr>
        <w:t xml:space="preserve"> </w:t>
      </w:r>
      <w:proofErr w:type="spellStart"/>
      <w:r w:rsidRPr="000C156A">
        <w:rPr>
          <w:i/>
          <w:iCs/>
          <w:sz w:val="24"/>
          <w:szCs w:val="24"/>
          <w:lang w:val="en-GB"/>
        </w:rPr>
        <w:t>Entrate</w:t>
      </w:r>
      <w:proofErr w:type="spellEnd"/>
      <w:r w:rsidRPr="000C156A">
        <w:rPr>
          <w:sz w:val="24"/>
          <w:szCs w:val="24"/>
          <w:lang w:val="en-GB"/>
        </w:rPr>
        <w:t>, reference should be made to the (</w:t>
      </w:r>
      <w:proofErr w:type="spellStart"/>
      <w:r w:rsidRPr="000C156A">
        <w:rPr>
          <w:sz w:val="24"/>
          <w:szCs w:val="24"/>
          <w:lang w:val="en-GB"/>
        </w:rPr>
        <w:t>non exhaustive</w:t>
      </w:r>
      <w:proofErr w:type="spellEnd"/>
      <w:r w:rsidRPr="000C156A">
        <w:rPr>
          <w:sz w:val="24"/>
          <w:szCs w:val="24"/>
          <w:lang w:val="en-GB"/>
        </w:rPr>
        <w:t>) list included in the Circular Letter n. 11/E of 28 March 2012. In this respect, please make reference to the bodies and supranational organization listed in the attached table:</w:t>
      </w:r>
    </w:p>
    <w:p w14:paraId="401E1FFC" w14:textId="77777777" w:rsidR="00C77AE3" w:rsidRPr="000C156A" w:rsidRDefault="00C77AE3" w:rsidP="00C77AE3">
      <w:pPr>
        <w:widowControl/>
        <w:autoSpaceDE/>
        <w:autoSpaceDN/>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528"/>
      </w:tblGrid>
      <w:tr w:rsidR="00C77AE3" w:rsidRPr="000C156A" w14:paraId="7DD3B5B8" w14:textId="77777777" w:rsidTr="009F48CE">
        <w:tc>
          <w:tcPr>
            <w:tcW w:w="10201" w:type="dxa"/>
            <w:gridSpan w:val="2"/>
            <w:shd w:val="clear" w:color="auto" w:fill="auto"/>
          </w:tcPr>
          <w:p w14:paraId="5EBDD299" w14:textId="77777777" w:rsidR="00C77AE3" w:rsidRPr="000C156A" w:rsidRDefault="00C77AE3" w:rsidP="00773700">
            <w:pPr>
              <w:kinsoku w:val="0"/>
              <w:overflowPunct w:val="0"/>
              <w:autoSpaceDE/>
              <w:autoSpaceDN/>
              <w:spacing w:before="86" w:line="245" w:lineRule="exact"/>
              <w:jc w:val="center"/>
              <w:textAlignment w:val="baseline"/>
              <w:rPr>
                <w:b/>
                <w:bCs/>
                <w:spacing w:val="-2"/>
                <w:sz w:val="24"/>
                <w:szCs w:val="24"/>
              </w:rPr>
            </w:pPr>
            <w:r w:rsidRPr="000C156A">
              <w:rPr>
                <w:b/>
                <w:bCs/>
                <w:spacing w:val="-2"/>
                <w:sz w:val="24"/>
                <w:szCs w:val="24"/>
              </w:rPr>
              <w:t>List of Supranational Bodies</w:t>
            </w:r>
          </w:p>
          <w:p w14:paraId="33451F6F" w14:textId="77777777" w:rsidR="00C77AE3" w:rsidRPr="000C156A" w:rsidRDefault="00C77AE3" w:rsidP="00773700">
            <w:pPr>
              <w:widowControl/>
              <w:autoSpaceDE/>
              <w:autoSpaceDN/>
              <w:jc w:val="center"/>
              <w:rPr>
                <w:lang w:val="en-GB"/>
              </w:rPr>
            </w:pPr>
            <w:r w:rsidRPr="000C156A">
              <w:rPr>
                <w:b/>
                <w:bCs/>
                <w:spacing w:val="-2"/>
                <w:sz w:val="24"/>
                <w:szCs w:val="24"/>
              </w:rPr>
              <w:t>established in accordance with international agreements in force in Italy</w:t>
            </w:r>
          </w:p>
        </w:tc>
      </w:tr>
      <w:tr w:rsidR="00C77AE3" w:rsidRPr="000C156A" w14:paraId="20B74DE0" w14:textId="77777777" w:rsidTr="009F48CE">
        <w:tc>
          <w:tcPr>
            <w:tcW w:w="4673" w:type="dxa"/>
            <w:shd w:val="clear" w:color="auto" w:fill="auto"/>
          </w:tcPr>
          <w:p w14:paraId="3DEF503A" w14:textId="77777777" w:rsidR="00C77AE3" w:rsidRPr="000C156A" w:rsidRDefault="00C77AE3" w:rsidP="00773700">
            <w:pPr>
              <w:widowControl/>
              <w:autoSpaceDE/>
              <w:autoSpaceDN/>
              <w:jc w:val="both"/>
              <w:rPr>
                <w:lang w:val="en-GB"/>
              </w:rPr>
            </w:pPr>
            <w:r w:rsidRPr="000C156A">
              <w:rPr>
                <w:spacing w:val="-2"/>
              </w:rPr>
              <w:t>African Development Bank</w:t>
            </w:r>
          </w:p>
        </w:tc>
        <w:tc>
          <w:tcPr>
            <w:tcW w:w="5528" w:type="dxa"/>
            <w:shd w:val="clear" w:color="auto" w:fill="auto"/>
          </w:tcPr>
          <w:p w14:paraId="20E588A1" w14:textId="77777777" w:rsidR="00C77AE3" w:rsidRPr="000C156A" w:rsidRDefault="00C77AE3" w:rsidP="00773700">
            <w:pPr>
              <w:widowControl/>
              <w:autoSpaceDE/>
              <w:autoSpaceDN/>
              <w:jc w:val="both"/>
              <w:rPr>
                <w:lang w:val="en-GB"/>
              </w:rPr>
            </w:pPr>
            <w:r w:rsidRPr="000C156A">
              <w:rPr>
                <w:spacing w:val="-2"/>
              </w:rPr>
              <w:t>Inter</w:t>
            </w:r>
            <w:r w:rsidRPr="000C156A">
              <w:rPr>
                <w:spacing w:val="-2"/>
                <w:sz w:val="24"/>
                <w:szCs w:val="24"/>
              </w:rPr>
              <w:t>-</w:t>
            </w:r>
            <w:r w:rsidRPr="000C156A">
              <w:rPr>
                <w:spacing w:val="-2"/>
              </w:rPr>
              <w:t>American investment corporation (IIC)</w:t>
            </w:r>
          </w:p>
        </w:tc>
      </w:tr>
      <w:tr w:rsidR="00C77AE3" w:rsidRPr="000C156A" w14:paraId="356E3FE3" w14:textId="77777777" w:rsidTr="009F48CE">
        <w:tc>
          <w:tcPr>
            <w:tcW w:w="4673" w:type="dxa"/>
            <w:shd w:val="clear" w:color="auto" w:fill="auto"/>
          </w:tcPr>
          <w:p w14:paraId="3333457F" w14:textId="77777777" w:rsidR="00C77AE3" w:rsidRPr="000C156A" w:rsidRDefault="00C77AE3" w:rsidP="00773700">
            <w:pPr>
              <w:widowControl/>
              <w:autoSpaceDE/>
              <w:autoSpaceDN/>
              <w:jc w:val="both"/>
              <w:rPr>
                <w:lang w:val="en-GB"/>
              </w:rPr>
            </w:pPr>
            <w:r w:rsidRPr="000C156A">
              <w:t>African Development Fund (ADF)</w:t>
            </w:r>
          </w:p>
        </w:tc>
        <w:tc>
          <w:tcPr>
            <w:tcW w:w="5528" w:type="dxa"/>
            <w:shd w:val="clear" w:color="auto" w:fill="auto"/>
          </w:tcPr>
          <w:p w14:paraId="50FDD8AD" w14:textId="77777777" w:rsidR="00C77AE3" w:rsidRPr="000C156A" w:rsidRDefault="00C77AE3" w:rsidP="00773700">
            <w:pPr>
              <w:widowControl/>
              <w:autoSpaceDE/>
              <w:autoSpaceDN/>
              <w:jc w:val="both"/>
              <w:rPr>
                <w:lang w:val="en-GB"/>
              </w:rPr>
            </w:pPr>
            <w:r w:rsidRPr="000C156A">
              <w:rPr>
                <w:spacing w:val="-1"/>
              </w:rPr>
              <w:t>International Atomic Energy Agency (IAEA)</w:t>
            </w:r>
          </w:p>
        </w:tc>
      </w:tr>
      <w:tr w:rsidR="00C77AE3" w:rsidRPr="000C156A" w14:paraId="2222F849" w14:textId="77777777" w:rsidTr="009F48CE">
        <w:tc>
          <w:tcPr>
            <w:tcW w:w="4673" w:type="dxa"/>
            <w:shd w:val="clear" w:color="auto" w:fill="auto"/>
          </w:tcPr>
          <w:p w14:paraId="6195B58A" w14:textId="77777777" w:rsidR="00C77AE3" w:rsidRPr="000C156A" w:rsidRDefault="00C77AE3" w:rsidP="00773700">
            <w:pPr>
              <w:widowControl/>
              <w:autoSpaceDE/>
              <w:autoSpaceDN/>
              <w:jc w:val="both"/>
              <w:rPr>
                <w:lang w:val="en-GB"/>
              </w:rPr>
            </w:pPr>
            <w:r w:rsidRPr="000C156A">
              <w:rPr>
                <w:spacing w:val="-2"/>
              </w:rPr>
              <w:t>Asian Development Bank</w:t>
            </w:r>
          </w:p>
        </w:tc>
        <w:tc>
          <w:tcPr>
            <w:tcW w:w="5528" w:type="dxa"/>
            <w:shd w:val="clear" w:color="auto" w:fill="auto"/>
          </w:tcPr>
          <w:p w14:paraId="47625350" w14:textId="77777777" w:rsidR="00C77AE3" w:rsidRPr="000C156A" w:rsidRDefault="00C77AE3" w:rsidP="00773700">
            <w:pPr>
              <w:widowControl/>
              <w:autoSpaceDE/>
              <w:autoSpaceDN/>
              <w:jc w:val="both"/>
              <w:rPr>
                <w:lang w:val="en-GB"/>
              </w:rPr>
            </w:pPr>
            <w:r w:rsidRPr="000C156A">
              <w:rPr>
                <w:spacing w:val="-4"/>
              </w:rPr>
              <w:t>International Bank for Reconstruction and Development (IBRD)</w:t>
            </w:r>
          </w:p>
        </w:tc>
      </w:tr>
      <w:tr w:rsidR="00C77AE3" w:rsidRPr="000C156A" w14:paraId="794229E7" w14:textId="77777777" w:rsidTr="009F48CE">
        <w:tc>
          <w:tcPr>
            <w:tcW w:w="4673" w:type="dxa"/>
            <w:shd w:val="clear" w:color="auto" w:fill="auto"/>
          </w:tcPr>
          <w:p w14:paraId="329BC24A" w14:textId="77777777" w:rsidR="00C77AE3" w:rsidRPr="000C156A" w:rsidRDefault="00C77AE3" w:rsidP="00773700">
            <w:pPr>
              <w:widowControl/>
              <w:autoSpaceDE/>
              <w:autoSpaceDN/>
              <w:jc w:val="both"/>
              <w:rPr>
                <w:lang w:val="en-GB"/>
              </w:rPr>
            </w:pPr>
            <w:r w:rsidRPr="000C156A">
              <w:rPr>
                <w:spacing w:val="-2"/>
              </w:rPr>
              <w:t>Bank for International Settlements (BIS)</w:t>
            </w:r>
          </w:p>
        </w:tc>
        <w:tc>
          <w:tcPr>
            <w:tcW w:w="5528" w:type="dxa"/>
            <w:shd w:val="clear" w:color="auto" w:fill="auto"/>
          </w:tcPr>
          <w:p w14:paraId="1C796C73" w14:textId="77777777" w:rsidR="00C77AE3" w:rsidRPr="000C156A" w:rsidRDefault="00C77AE3" w:rsidP="00773700">
            <w:pPr>
              <w:widowControl/>
              <w:autoSpaceDE/>
              <w:autoSpaceDN/>
              <w:jc w:val="both"/>
              <w:rPr>
                <w:lang w:val="en-GB"/>
              </w:rPr>
            </w:pPr>
            <w:r w:rsidRPr="000C156A">
              <w:t>International Centre for Genetic Engineering and Biotechnology (ICGEB)</w:t>
            </w:r>
          </w:p>
        </w:tc>
      </w:tr>
      <w:tr w:rsidR="00C77AE3" w:rsidRPr="000C156A" w14:paraId="5D78384B" w14:textId="77777777" w:rsidTr="009F48CE">
        <w:tc>
          <w:tcPr>
            <w:tcW w:w="4673" w:type="dxa"/>
            <w:shd w:val="clear" w:color="auto" w:fill="auto"/>
          </w:tcPr>
          <w:p w14:paraId="7A4E709C" w14:textId="77777777" w:rsidR="00C77AE3" w:rsidRPr="000C156A" w:rsidRDefault="00C77AE3" w:rsidP="00773700">
            <w:pPr>
              <w:widowControl/>
              <w:autoSpaceDE/>
              <w:autoSpaceDN/>
              <w:jc w:val="both"/>
              <w:rPr>
                <w:lang w:val="en-GB"/>
              </w:rPr>
            </w:pPr>
            <w:r w:rsidRPr="000C156A">
              <w:rPr>
                <w:spacing w:val="-2"/>
              </w:rPr>
              <w:t>Caribbean Development Bank (CDB)</w:t>
            </w:r>
          </w:p>
        </w:tc>
        <w:tc>
          <w:tcPr>
            <w:tcW w:w="5528" w:type="dxa"/>
            <w:shd w:val="clear" w:color="auto" w:fill="auto"/>
          </w:tcPr>
          <w:p w14:paraId="2E430DE1" w14:textId="77777777" w:rsidR="00C77AE3" w:rsidRPr="000C156A" w:rsidRDefault="00C77AE3" w:rsidP="00773700">
            <w:pPr>
              <w:widowControl/>
              <w:autoSpaceDE/>
              <w:autoSpaceDN/>
              <w:jc w:val="both"/>
              <w:rPr>
                <w:lang w:val="en-GB"/>
              </w:rPr>
            </w:pPr>
            <w:r w:rsidRPr="000C156A">
              <w:t>International Centre for the Study of the Preservation and Restoration of Cultural Property (ICCROM)</w:t>
            </w:r>
          </w:p>
        </w:tc>
      </w:tr>
      <w:tr w:rsidR="00C77AE3" w:rsidRPr="000C156A" w14:paraId="6709DF04" w14:textId="77777777" w:rsidTr="009F48CE">
        <w:tc>
          <w:tcPr>
            <w:tcW w:w="4673" w:type="dxa"/>
            <w:shd w:val="clear" w:color="auto" w:fill="auto"/>
          </w:tcPr>
          <w:p w14:paraId="681480FE" w14:textId="77777777" w:rsidR="00C77AE3" w:rsidRPr="000C156A" w:rsidRDefault="00C77AE3" w:rsidP="00773700">
            <w:pPr>
              <w:widowControl/>
              <w:autoSpaceDE/>
              <w:autoSpaceDN/>
              <w:jc w:val="both"/>
              <w:rPr>
                <w:lang w:val="en-GB"/>
              </w:rPr>
            </w:pPr>
            <w:r w:rsidRPr="000C156A">
              <w:rPr>
                <w:spacing w:val="-2"/>
              </w:rPr>
              <w:t>Council of Europe</w:t>
            </w:r>
          </w:p>
        </w:tc>
        <w:tc>
          <w:tcPr>
            <w:tcW w:w="5528" w:type="dxa"/>
            <w:shd w:val="clear" w:color="auto" w:fill="auto"/>
          </w:tcPr>
          <w:p w14:paraId="75A571C1" w14:textId="77777777" w:rsidR="00C77AE3" w:rsidRPr="000C156A" w:rsidRDefault="00C77AE3" w:rsidP="00773700">
            <w:pPr>
              <w:widowControl/>
              <w:autoSpaceDE/>
              <w:autoSpaceDN/>
              <w:jc w:val="both"/>
              <w:rPr>
                <w:spacing w:val="-2"/>
              </w:rPr>
            </w:pPr>
            <w:r w:rsidRPr="000C156A">
              <w:rPr>
                <w:spacing w:val="-2"/>
              </w:rPr>
              <w:t>International Computing Centre</w:t>
            </w:r>
          </w:p>
        </w:tc>
      </w:tr>
      <w:tr w:rsidR="00C77AE3" w:rsidRPr="000C156A" w14:paraId="68476B03" w14:textId="77777777" w:rsidTr="009F48CE">
        <w:tc>
          <w:tcPr>
            <w:tcW w:w="4673" w:type="dxa"/>
            <w:shd w:val="clear" w:color="auto" w:fill="auto"/>
          </w:tcPr>
          <w:p w14:paraId="00BD777F" w14:textId="77777777" w:rsidR="00C77AE3" w:rsidRPr="000C156A" w:rsidRDefault="00C77AE3" w:rsidP="00773700">
            <w:pPr>
              <w:widowControl/>
              <w:autoSpaceDE/>
              <w:autoSpaceDN/>
              <w:jc w:val="both"/>
              <w:rPr>
                <w:lang w:val="en-GB"/>
              </w:rPr>
            </w:pPr>
            <w:r w:rsidRPr="000C156A">
              <w:rPr>
                <w:spacing w:val="-1"/>
              </w:rPr>
              <w:t>European Atomic Energy Community (EURATOM)</w:t>
            </w:r>
          </w:p>
        </w:tc>
        <w:tc>
          <w:tcPr>
            <w:tcW w:w="5528" w:type="dxa"/>
            <w:shd w:val="clear" w:color="auto" w:fill="auto"/>
          </w:tcPr>
          <w:p w14:paraId="7F9DEAD8" w14:textId="77777777" w:rsidR="00C77AE3" w:rsidRPr="000C156A" w:rsidRDefault="00C77AE3" w:rsidP="00773700">
            <w:pPr>
              <w:widowControl/>
              <w:autoSpaceDE/>
              <w:autoSpaceDN/>
              <w:jc w:val="both"/>
              <w:rPr>
                <w:lang w:val="en-GB"/>
              </w:rPr>
            </w:pPr>
            <w:r w:rsidRPr="000C156A">
              <w:rPr>
                <w:spacing w:val="-2"/>
              </w:rPr>
              <w:t>International Development Association (IDA)</w:t>
            </w:r>
          </w:p>
        </w:tc>
      </w:tr>
      <w:tr w:rsidR="00C77AE3" w:rsidRPr="000C156A" w14:paraId="6CA1D7FE" w14:textId="77777777" w:rsidTr="009F48CE">
        <w:tc>
          <w:tcPr>
            <w:tcW w:w="4673" w:type="dxa"/>
            <w:shd w:val="clear" w:color="auto" w:fill="auto"/>
          </w:tcPr>
          <w:p w14:paraId="16E131ED" w14:textId="77777777" w:rsidR="00C77AE3" w:rsidRPr="000C156A" w:rsidRDefault="00C77AE3" w:rsidP="00773700">
            <w:pPr>
              <w:kinsoku w:val="0"/>
              <w:overflowPunct w:val="0"/>
              <w:autoSpaceDE/>
              <w:autoSpaceDN/>
              <w:spacing w:after="21" w:line="231" w:lineRule="exact"/>
              <w:ind w:left="29" w:right="108" w:hanging="29"/>
              <w:jc w:val="both"/>
              <w:textAlignment w:val="baseline"/>
            </w:pPr>
            <w:r w:rsidRPr="000C156A">
              <w:rPr>
                <w:spacing w:val="-1"/>
              </w:rPr>
              <w:t>European Bank for Reconstruction and Development (EBRD)</w:t>
            </w:r>
          </w:p>
        </w:tc>
        <w:tc>
          <w:tcPr>
            <w:tcW w:w="5528" w:type="dxa"/>
            <w:shd w:val="clear" w:color="auto" w:fill="auto"/>
            <w:vAlign w:val="center"/>
          </w:tcPr>
          <w:p w14:paraId="584510C9" w14:textId="77777777" w:rsidR="00C77AE3" w:rsidRPr="000C156A" w:rsidRDefault="00C77AE3" w:rsidP="00773700">
            <w:pPr>
              <w:kinsoku w:val="0"/>
              <w:overflowPunct w:val="0"/>
              <w:autoSpaceDE/>
              <w:autoSpaceDN/>
              <w:spacing w:after="28" w:line="208" w:lineRule="exact"/>
              <w:textAlignment w:val="baseline"/>
              <w:rPr>
                <w:spacing w:val="-2"/>
              </w:rPr>
            </w:pPr>
            <w:r w:rsidRPr="000C156A">
              <w:rPr>
                <w:spacing w:val="-2"/>
              </w:rPr>
              <w:t>International Funds for Mediterranean Agronomics Education</w:t>
            </w:r>
          </w:p>
        </w:tc>
      </w:tr>
      <w:tr w:rsidR="00C77AE3" w:rsidRPr="000C156A" w14:paraId="51CD50DB" w14:textId="77777777" w:rsidTr="009F48CE">
        <w:tc>
          <w:tcPr>
            <w:tcW w:w="4673" w:type="dxa"/>
            <w:shd w:val="clear" w:color="auto" w:fill="auto"/>
          </w:tcPr>
          <w:p w14:paraId="17E81779" w14:textId="77777777" w:rsidR="00C77AE3" w:rsidRPr="000C156A" w:rsidRDefault="00C77AE3" w:rsidP="00773700">
            <w:pPr>
              <w:widowControl/>
              <w:autoSpaceDE/>
              <w:autoSpaceDN/>
              <w:jc w:val="both"/>
              <w:rPr>
                <w:spacing w:val="-2"/>
              </w:rPr>
            </w:pPr>
            <w:r w:rsidRPr="000C156A">
              <w:rPr>
                <w:spacing w:val="-2"/>
              </w:rPr>
              <w:t>European Coal and Steel Community (ECSC), now European Union (EU)</w:t>
            </w:r>
          </w:p>
        </w:tc>
        <w:tc>
          <w:tcPr>
            <w:tcW w:w="5528" w:type="dxa"/>
            <w:shd w:val="clear" w:color="auto" w:fill="auto"/>
          </w:tcPr>
          <w:p w14:paraId="3DD93B86" w14:textId="77777777" w:rsidR="00C77AE3" w:rsidRPr="000C156A" w:rsidRDefault="00C77AE3" w:rsidP="00773700">
            <w:pPr>
              <w:kinsoku w:val="0"/>
              <w:overflowPunct w:val="0"/>
              <w:autoSpaceDE/>
              <w:autoSpaceDN/>
              <w:spacing w:after="21" w:line="232" w:lineRule="exact"/>
              <w:ind w:right="612"/>
              <w:textAlignment w:val="baseline"/>
            </w:pPr>
            <w:r w:rsidRPr="000C156A">
              <w:t>International Institute for the Unification of Private Law (UNIDROIT)</w:t>
            </w:r>
          </w:p>
        </w:tc>
      </w:tr>
      <w:tr w:rsidR="00C77AE3" w:rsidRPr="000C156A" w14:paraId="037E04EF" w14:textId="77777777" w:rsidTr="009F48CE">
        <w:tc>
          <w:tcPr>
            <w:tcW w:w="4673" w:type="dxa"/>
            <w:shd w:val="clear" w:color="auto" w:fill="auto"/>
          </w:tcPr>
          <w:p w14:paraId="4CA3BED8" w14:textId="77777777" w:rsidR="00C77AE3" w:rsidRPr="000C156A" w:rsidRDefault="00C77AE3" w:rsidP="00773700">
            <w:pPr>
              <w:widowControl/>
              <w:autoSpaceDE/>
              <w:autoSpaceDN/>
              <w:jc w:val="both"/>
              <w:rPr>
                <w:spacing w:val="-2"/>
              </w:rPr>
            </w:pPr>
            <w:r w:rsidRPr="000C156A">
              <w:rPr>
                <w:spacing w:val="-2"/>
              </w:rPr>
              <w:t>European Commission (EC)</w:t>
            </w:r>
          </w:p>
        </w:tc>
        <w:tc>
          <w:tcPr>
            <w:tcW w:w="5528" w:type="dxa"/>
            <w:shd w:val="clear" w:color="auto" w:fill="auto"/>
          </w:tcPr>
          <w:p w14:paraId="40DD43C7" w14:textId="77777777" w:rsidR="00C77AE3" w:rsidRPr="000C156A" w:rsidRDefault="00C77AE3" w:rsidP="00773700">
            <w:pPr>
              <w:widowControl/>
              <w:autoSpaceDE/>
              <w:autoSpaceDN/>
              <w:jc w:val="both"/>
              <w:rPr>
                <w:lang w:val="en-GB"/>
              </w:rPr>
            </w:pPr>
            <w:r w:rsidRPr="000C156A">
              <w:rPr>
                <w:spacing w:val="-2"/>
              </w:rPr>
              <w:t>International Institute of Technology and Management (IIMT)</w:t>
            </w:r>
          </w:p>
        </w:tc>
      </w:tr>
      <w:tr w:rsidR="00C77AE3" w:rsidRPr="000C156A" w14:paraId="56436021" w14:textId="77777777" w:rsidTr="009F48CE">
        <w:tc>
          <w:tcPr>
            <w:tcW w:w="4673" w:type="dxa"/>
            <w:shd w:val="clear" w:color="auto" w:fill="auto"/>
          </w:tcPr>
          <w:p w14:paraId="148FFDEC" w14:textId="77777777" w:rsidR="00C77AE3" w:rsidRPr="000C156A" w:rsidRDefault="00C77AE3" w:rsidP="00773700">
            <w:pPr>
              <w:widowControl/>
              <w:autoSpaceDE/>
              <w:autoSpaceDN/>
              <w:jc w:val="both"/>
              <w:rPr>
                <w:lang w:val="en-GB"/>
              </w:rPr>
            </w:pPr>
            <w:r w:rsidRPr="000C156A">
              <w:t>European Company for the Financing of Railroad Rolling Stock (EUROFIMA)</w:t>
            </w:r>
          </w:p>
        </w:tc>
        <w:tc>
          <w:tcPr>
            <w:tcW w:w="5528" w:type="dxa"/>
            <w:shd w:val="clear" w:color="auto" w:fill="auto"/>
          </w:tcPr>
          <w:p w14:paraId="730D09F1" w14:textId="77777777" w:rsidR="00C77AE3" w:rsidRPr="000C156A" w:rsidRDefault="00C77AE3" w:rsidP="00773700">
            <w:pPr>
              <w:widowControl/>
              <w:autoSpaceDE/>
              <w:autoSpaceDN/>
              <w:jc w:val="both"/>
              <w:rPr>
                <w:spacing w:val="-3"/>
              </w:rPr>
            </w:pPr>
            <w:r w:rsidRPr="000C156A">
              <w:rPr>
                <w:rFonts w:eastAsia="PMingLiU"/>
                <w:lang w:eastAsia="zh-CN" w:bidi="mr-IN"/>
              </w:rPr>
              <w:t xml:space="preserve">International </w:t>
            </w:r>
            <w:proofErr w:type="spellStart"/>
            <w:r w:rsidRPr="000C156A">
              <w:rPr>
                <w:rFonts w:eastAsia="PMingLiU"/>
                <w:lang w:eastAsia="zh-CN" w:bidi="mr-IN"/>
              </w:rPr>
              <w:t>Marittime</w:t>
            </w:r>
            <w:proofErr w:type="spellEnd"/>
            <w:r w:rsidRPr="000C156A">
              <w:rPr>
                <w:rFonts w:eastAsia="PMingLiU"/>
                <w:lang w:eastAsia="zh-CN" w:bidi="mr-IN"/>
              </w:rPr>
              <w:t xml:space="preserve"> Satellite Organization (INMARSAT)</w:t>
            </w:r>
          </w:p>
        </w:tc>
      </w:tr>
      <w:tr w:rsidR="00C77AE3" w:rsidRPr="000C156A" w14:paraId="2848FA6D" w14:textId="77777777" w:rsidTr="009F48CE">
        <w:tc>
          <w:tcPr>
            <w:tcW w:w="4673" w:type="dxa"/>
            <w:shd w:val="clear" w:color="auto" w:fill="auto"/>
          </w:tcPr>
          <w:p w14:paraId="71CBBC4F" w14:textId="77777777" w:rsidR="00C77AE3" w:rsidRPr="000C156A" w:rsidRDefault="00C77AE3" w:rsidP="00773700">
            <w:pPr>
              <w:widowControl/>
              <w:autoSpaceDE/>
              <w:autoSpaceDN/>
              <w:jc w:val="both"/>
              <w:rPr>
                <w:lang w:val="en-GB"/>
              </w:rPr>
            </w:pPr>
            <w:r w:rsidRPr="000C156A">
              <w:rPr>
                <w:spacing w:val="-2"/>
              </w:rPr>
              <w:t>European Investment Bank (EIB)</w:t>
            </w:r>
          </w:p>
        </w:tc>
        <w:tc>
          <w:tcPr>
            <w:tcW w:w="5528" w:type="dxa"/>
            <w:shd w:val="clear" w:color="auto" w:fill="auto"/>
          </w:tcPr>
          <w:p w14:paraId="3004193D" w14:textId="77777777" w:rsidR="00C77AE3" w:rsidRPr="000C156A" w:rsidRDefault="00C77AE3" w:rsidP="00773700">
            <w:pPr>
              <w:widowControl/>
              <w:autoSpaceDE/>
              <w:autoSpaceDN/>
              <w:jc w:val="both"/>
              <w:rPr>
                <w:lang w:val="en-GB"/>
              </w:rPr>
            </w:pPr>
            <w:r w:rsidRPr="000C156A">
              <w:rPr>
                <w:spacing w:val="-3"/>
              </w:rPr>
              <w:t>International Telecommunications Satellite Organization (INTELSAT) now ITSO</w:t>
            </w:r>
          </w:p>
        </w:tc>
      </w:tr>
      <w:tr w:rsidR="00C77AE3" w:rsidRPr="000C156A" w14:paraId="25ABD818" w14:textId="77777777" w:rsidTr="009F48CE">
        <w:tc>
          <w:tcPr>
            <w:tcW w:w="4673" w:type="dxa"/>
            <w:shd w:val="clear" w:color="auto" w:fill="auto"/>
          </w:tcPr>
          <w:p w14:paraId="12BBE318" w14:textId="77777777" w:rsidR="00C77AE3" w:rsidRPr="000C156A" w:rsidRDefault="00C77AE3" w:rsidP="00773700">
            <w:pPr>
              <w:widowControl/>
              <w:autoSpaceDE/>
              <w:autoSpaceDN/>
              <w:jc w:val="both"/>
              <w:rPr>
                <w:lang w:val="en-GB"/>
              </w:rPr>
            </w:pPr>
            <w:r w:rsidRPr="000C156A">
              <w:rPr>
                <w:rFonts w:eastAsia="PMingLiU"/>
                <w:lang w:val="en-GB" w:eastAsia="zh-CN" w:bidi="mr-IN"/>
              </w:rPr>
              <w:t>European Organisation for Astronomical Research in the Southern Hemisphere (ESO)</w:t>
            </w:r>
          </w:p>
        </w:tc>
        <w:tc>
          <w:tcPr>
            <w:tcW w:w="5528" w:type="dxa"/>
            <w:shd w:val="clear" w:color="auto" w:fill="auto"/>
          </w:tcPr>
          <w:p w14:paraId="4D03CBBC" w14:textId="77777777" w:rsidR="00C77AE3" w:rsidRPr="000C156A" w:rsidRDefault="00C77AE3" w:rsidP="00773700">
            <w:pPr>
              <w:widowControl/>
              <w:autoSpaceDE/>
              <w:autoSpaceDN/>
              <w:jc w:val="both"/>
              <w:rPr>
                <w:lang w:val="en-GB"/>
              </w:rPr>
            </w:pPr>
            <w:r w:rsidRPr="000C156A">
              <w:rPr>
                <w:spacing w:val="-2"/>
              </w:rPr>
              <w:t>Multilateral Investment Guarantee Agency (MIGA)</w:t>
            </w:r>
          </w:p>
        </w:tc>
      </w:tr>
      <w:tr w:rsidR="00C77AE3" w:rsidRPr="000C156A" w14:paraId="26CFB096" w14:textId="77777777" w:rsidTr="009F48CE">
        <w:tc>
          <w:tcPr>
            <w:tcW w:w="4673" w:type="dxa"/>
            <w:shd w:val="clear" w:color="auto" w:fill="auto"/>
          </w:tcPr>
          <w:p w14:paraId="4C8DE0AB" w14:textId="77777777" w:rsidR="00C77AE3" w:rsidRPr="000C156A" w:rsidRDefault="00C77AE3" w:rsidP="00773700">
            <w:pPr>
              <w:widowControl/>
              <w:autoSpaceDE/>
              <w:autoSpaceDN/>
              <w:jc w:val="both"/>
              <w:rPr>
                <w:lang w:val="en-GB"/>
              </w:rPr>
            </w:pPr>
            <w:r w:rsidRPr="000C156A">
              <w:rPr>
                <w:spacing w:val="-2"/>
              </w:rPr>
              <w:t>European Space Agency (ESA)</w:t>
            </w:r>
          </w:p>
        </w:tc>
        <w:tc>
          <w:tcPr>
            <w:tcW w:w="5528" w:type="dxa"/>
            <w:shd w:val="clear" w:color="auto" w:fill="auto"/>
          </w:tcPr>
          <w:p w14:paraId="79F0D2B0" w14:textId="77777777" w:rsidR="00C77AE3" w:rsidRPr="000C156A" w:rsidRDefault="00C77AE3" w:rsidP="00773700">
            <w:pPr>
              <w:widowControl/>
              <w:autoSpaceDE/>
              <w:autoSpaceDN/>
              <w:jc w:val="both"/>
              <w:rPr>
                <w:lang w:val="en-GB"/>
              </w:rPr>
            </w:pPr>
            <w:r w:rsidRPr="000C156A">
              <w:rPr>
                <w:spacing w:val="-1"/>
              </w:rPr>
              <w:t>Multinational Force and Observers (MFO)</w:t>
            </w:r>
          </w:p>
        </w:tc>
      </w:tr>
      <w:tr w:rsidR="00C77AE3" w:rsidRPr="000C156A" w14:paraId="4ABD09A2" w14:textId="77777777" w:rsidTr="009F48CE">
        <w:tc>
          <w:tcPr>
            <w:tcW w:w="4673" w:type="dxa"/>
            <w:shd w:val="clear" w:color="auto" w:fill="auto"/>
          </w:tcPr>
          <w:p w14:paraId="08B62DB5" w14:textId="77777777" w:rsidR="00C77AE3" w:rsidRPr="000C156A" w:rsidRDefault="00C77AE3" w:rsidP="00773700">
            <w:pPr>
              <w:widowControl/>
              <w:autoSpaceDE/>
              <w:autoSpaceDN/>
              <w:jc w:val="both"/>
              <w:rPr>
                <w:lang w:val="en-GB"/>
              </w:rPr>
            </w:pPr>
            <w:r w:rsidRPr="000C156A">
              <w:rPr>
                <w:spacing w:val="-2"/>
              </w:rPr>
              <w:t xml:space="preserve">European Space Research </w:t>
            </w:r>
            <w:proofErr w:type="spellStart"/>
            <w:r w:rsidRPr="000C156A">
              <w:rPr>
                <w:spacing w:val="-2"/>
              </w:rPr>
              <w:t>Organisation</w:t>
            </w:r>
            <w:proofErr w:type="spellEnd"/>
            <w:r w:rsidRPr="000C156A">
              <w:rPr>
                <w:spacing w:val="-2"/>
              </w:rPr>
              <w:t xml:space="preserve"> (ESRO)</w:t>
            </w:r>
          </w:p>
        </w:tc>
        <w:tc>
          <w:tcPr>
            <w:tcW w:w="5528" w:type="dxa"/>
            <w:shd w:val="clear" w:color="auto" w:fill="auto"/>
          </w:tcPr>
          <w:p w14:paraId="5004299B" w14:textId="77777777" w:rsidR="00C77AE3" w:rsidRPr="000C156A" w:rsidRDefault="00C77AE3" w:rsidP="00773700">
            <w:pPr>
              <w:widowControl/>
              <w:autoSpaceDE/>
              <w:autoSpaceDN/>
              <w:jc w:val="both"/>
              <w:rPr>
                <w:lang w:val="en-GB"/>
              </w:rPr>
            </w:pPr>
            <w:r w:rsidRPr="000C156A">
              <w:rPr>
                <w:spacing w:val="-3"/>
              </w:rPr>
              <w:t>Nature Inspired Cooperative Strategies for Optimization (N.I.C.S.O.)</w:t>
            </w:r>
          </w:p>
        </w:tc>
      </w:tr>
      <w:tr w:rsidR="00C77AE3" w:rsidRPr="000C156A" w14:paraId="666AB5F3" w14:textId="77777777" w:rsidTr="009F48CE">
        <w:tc>
          <w:tcPr>
            <w:tcW w:w="4673" w:type="dxa"/>
            <w:shd w:val="clear" w:color="auto" w:fill="auto"/>
          </w:tcPr>
          <w:p w14:paraId="51275C06" w14:textId="77777777" w:rsidR="00C77AE3" w:rsidRPr="000C156A" w:rsidRDefault="00C77AE3" w:rsidP="00773700">
            <w:pPr>
              <w:widowControl/>
              <w:autoSpaceDE/>
              <w:autoSpaceDN/>
              <w:jc w:val="both"/>
              <w:rPr>
                <w:lang w:val="en-GB"/>
              </w:rPr>
            </w:pPr>
            <w:r w:rsidRPr="000C156A">
              <w:rPr>
                <w:spacing w:val="-3"/>
              </w:rPr>
              <w:t>European Telecommunications Satellite Organization (EUTELSAT) now Eutelsat SA</w:t>
            </w:r>
          </w:p>
        </w:tc>
        <w:tc>
          <w:tcPr>
            <w:tcW w:w="5528" w:type="dxa"/>
            <w:shd w:val="clear" w:color="auto" w:fill="auto"/>
          </w:tcPr>
          <w:p w14:paraId="6E0239A7" w14:textId="77777777" w:rsidR="00C77AE3" w:rsidRPr="000C156A" w:rsidRDefault="00C77AE3" w:rsidP="00773700">
            <w:pPr>
              <w:widowControl/>
              <w:autoSpaceDE/>
              <w:autoSpaceDN/>
              <w:jc w:val="both"/>
              <w:rPr>
                <w:lang w:val="en-GB"/>
              </w:rPr>
            </w:pPr>
            <w:r w:rsidRPr="000C156A">
              <w:rPr>
                <w:spacing w:val="-2"/>
              </w:rPr>
              <w:t>North Atlantic Treaty Organization (NATO)</w:t>
            </w:r>
          </w:p>
        </w:tc>
      </w:tr>
      <w:tr w:rsidR="00C77AE3" w:rsidRPr="000C156A" w14:paraId="01495EF1" w14:textId="77777777" w:rsidTr="009F48CE">
        <w:tc>
          <w:tcPr>
            <w:tcW w:w="4673" w:type="dxa"/>
            <w:shd w:val="clear" w:color="auto" w:fill="auto"/>
          </w:tcPr>
          <w:p w14:paraId="26D315E7" w14:textId="77777777" w:rsidR="00C77AE3" w:rsidRPr="000C156A" w:rsidRDefault="00C77AE3" w:rsidP="00773700">
            <w:pPr>
              <w:widowControl/>
              <w:autoSpaceDE/>
              <w:autoSpaceDN/>
              <w:jc w:val="both"/>
              <w:rPr>
                <w:lang w:val="en-GB"/>
              </w:rPr>
            </w:pPr>
            <w:r w:rsidRPr="000C156A">
              <w:rPr>
                <w:spacing w:val="-3"/>
              </w:rPr>
              <w:t>European Union (EU)</w:t>
            </w:r>
          </w:p>
        </w:tc>
        <w:tc>
          <w:tcPr>
            <w:tcW w:w="5528" w:type="dxa"/>
            <w:shd w:val="clear" w:color="auto" w:fill="auto"/>
          </w:tcPr>
          <w:p w14:paraId="0AFC049B" w14:textId="77777777" w:rsidR="00C77AE3" w:rsidRPr="000C156A" w:rsidRDefault="00C77AE3" w:rsidP="00773700">
            <w:pPr>
              <w:widowControl/>
              <w:autoSpaceDE/>
              <w:autoSpaceDN/>
              <w:jc w:val="both"/>
              <w:rPr>
                <w:lang w:val="en-GB"/>
              </w:rPr>
            </w:pPr>
            <w:r w:rsidRPr="000C156A">
              <w:rPr>
                <w:spacing w:val="-4"/>
              </w:rPr>
              <w:t>Organization for Economic Co</w:t>
            </w:r>
            <w:r w:rsidRPr="000C156A">
              <w:rPr>
                <w:spacing w:val="-4"/>
                <w:sz w:val="24"/>
                <w:szCs w:val="24"/>
              </w:rPr>
              <w:t>-</w:t>
            </w:r>
            <w:r w:rsidRPr="000C156A">
              <w:rPr>
                <w:spacing w:val="-4"/>
              </w:rPr>
              <w:t>operation and Development (OECD)</w:t>
            </w:r>
          </w:p>
        </w:tc>
      </w:tr>
      <w:tr w:rsidR="00C77AE3" w:rsidRPr="000C156A" w14:paraId="3858506F" w14:textId="77777777" w:rsidTr="009F48CE">
        <w:tc>
          <w:tcPr>
            <w:tcW w:w="4673" w:type="dxa"/>
            <w:shd w:val="clear" w:color="auto" w:fill="auto"/>
          </w:tcPr>
          <w:p w14:paraId="76CBF29A" w14:textId="77777777" w:rsidR="00C77AE3" w:rsidRPr="000C156A" w:rsidRDefault="00C77AE3" w:rsidP="00773700">
            <w:pPr>
              <w:widowControl/>
              <w:autoSpaceDE/>
              <w:autoSpaceDN/>
              <w:jc w:val="both"/>
              <w:rPr>
                <w:lang w:val="en-GB"/>
              </w:rPr>
            </w:pPr>
            <w:r w:rsidRPr="000C156A">
              <w:rPr>
                <w:spacing w:val="-1"/>
              </w:rPr>
              <w:t>European University Institute (EUI)</w:t>
            </w:r>
          </w:p>
        </w:tc>
        <w:tc>
          <w:tcPr>
            <w:tcW w:w="5528" w:type="dxa"/>
            <w:shd w:val="clear" w:color="auto" w:fill="auto"/>
          </w:tcPr>
          <w:p w14:paraId="092700DA" w14:textId="77777777" w:rsidR="00C77AE3" w:rsidRPr="000C156A" w:rsidRDefault="00C77AE3" w:rsidP="00773700">
            <w:pPr>
              <w:widowControl/>
              <w:autoSpaceDE/>
              <w:autoSpaceDN/>
              <w:jc w:val="both"/>
              <w:rPr>
                <w:lang w:val="en-GB"/>
              </w:rPr>
            </w:pPr>
            <w:r w:rsidRPr="000C156A">
              <w:rPr>
                <w:spacing w:val="-3"/>
              </w:rPr>
              <w:t>United Nations (UN)</w:t>
            </w:r>
          </w:p>
        </w:tc>
      </w:tr>
      <w:tr w:rsidR="00C77AE3" w:rsidRPr="000C156A" w14:paraId="1EFDEE70" w14:textId="77777777" w:rsidTr="009F48CE">
        <w:tc>
          <w:tcPr>
            <w:tcW w:w="4673" w:type="dxa"/>
            <w:shd w:val="clear" w:color="auto" w:fill="auto"/>
          </w:tcPr>
          <w:p w14:paraId="2F1296BB" w14:textId="77777777" w:rsidR="00C77AE3" w:rsidRPr="000C156A" w:rsidRDefault="00C77AE3" w:rsidP="00773700">
            <w:pPr>
              <w:widowControl/>
              <w:autoSpaceDE/>
              <w:autoSpaceDN/>
              <w:jc w:val="both"/>
              <w:rPr>
                <w:lang w:val="en-GB"/>
              </w:rPr>
            </w:pPr>
            <w:r w:rsidRPr="000C156A">
              <w:rPr>
                <w:spacing w:val="-2"/>
              </w:rPr>
              <w:t>International Finance Corporation (IFC)</w:t>
            </w:r>
          </w:p>
        </w:tc>
        <w:tc>
          <w:tcPr>
            <w:tcW w:w="5528" w:type="dxa"/>
            <w:shd w:val="clear" w:color="auto" w:fill="auto"/>
          </w:tcPr>
          <w:p w14:paraId="772D46B1" w14:textId="77777777" w:rsidR="00C77AE3" w:rsidRPr="000C156A" w:rsidRDefault="00C77AE3" w:rsidP="00773700">
            <w:pPr>
              <w:widowControl/>
              <w:autoSpaceDE/>
              <w:autoSpaceDN/>
              <w:jc w:val="both"/>
              <w:rPr>
                <w:lang w:val="en-GB"/>
              </w:rPr>
            </w:pPr>
            <w:r w:rsidRPr="000C156A">
              <w:t>United Nations: United Nations Educational, Scientific and Cultural Organization (UNESCO)</w:t>
            </w:r>
          </w:p>
        </w:tc>
      </w:tr>
      <w:tr w:rsidR="00C77AE3" w:rsidRPr="000C156A" w14:paraId="3BE23D7A" w14:textId="77777777" w:rsidTr="009F48CE">
        <w:tc>
          <w:tcPr>
            <w:tcW w:w="4673" w:type="dxa"/>
            <w:shd w:val="clear" w:color="auto" w:fill="auto"/>
          </w:tcPr>
          <w:p w14:paraId="0EB0F52A" w14:textId="77777777" w:rsidR="00C77AE3" w:rsidRPr="000C156A" w:rsidRDefault="00C77AE3" w:rsidP="00773700">
            <w:pPr>
              <w:widowControl/>
              <w:autoSpaceDE/>
              <w:autoSpaceDN/>
              <w:jc w:val="both"/>
              <w:rPr>
                <w:lang w:val="en-GB"/>
              </w:rPr>
            </w:pPr>
            <w:r w:rsidRPr="000C156A">
              <w:t>Food and Agriculture Organization of the United Nations (FAO)</w:t>
            </w:r>
          </w:p>
        </w:tc>
        <w:tc>
          <w:tcPr>
            <w:tcW w:w="5528" w:type="dxa"/>
            <w:shd w:val="clear" w:color="auto" w:fill="auto"/>
          </w:tcPr>
          <w:p w14:paraId="35BA01C2" w14:textId="77777777" w:rsidR="00C77AE3" w:rsidRPr="000C156A" w:rsidRDefault="00C77AE3" w:rsidP="00773700">
            <w:pPr>
              <w:widowControl/>
              <w:autoSpaceDE/>
              <w:autoSpaceDN/>
              <w:jc w:val="both"/>
              <w:rPr>
                <w:lang w:val="en-GB"/>
              </w:rPr>
            </w:pPr>
            <w:r w:rsidRPr="000C156A">
              <w:t>United Nations Specialized Institutions</w:t>
            </w:r>
          </w:p>
        </w:tc>
      </w:tr>
      <w:tr w:rsidR="00C77AE3" w:rsidRPr="000C156A" w14:paraId="7B897237" w14:textId="77777777" w:rsidTr="009F48CE">
        <w:tc>
          <w:tcPr>
            <w:tcW w:w="4673" w:type="dxa"/>
            <w:shd w:val="clear" w:color="auto" w:fill="auto"/>
          </w:tcPr>
          <w:p w14:paraId="715D4E87" w14:textId="77777777" w:rsidR="00C77AE3" w:rsidRPr="000C156A" w:rsidRDefault="00C77AE3" w:rsidP="00773700">
            <w:pPr>
              <w:widowControl/>
              <w:autoSpaceDE/>
              <w:autoSpaceDN/>
              <w:jc w:val="both"/>
              <w:rPr>
                <w:lang w:val="en-GB"/>
              </w:rPr>
            </w:pPr>
            <w:r w:rsidRPr="000C156A">
              <w:rPr>
                <w:spacing w:val="-2"/>
              </w:rPr>
              <w:t>Inter</w:t>
            </w:r>
            <w:r w:rsidRPr="000C156A">
              <w:rPr>
                <w:spacing w:val="-2"/>
                <w:sz w:val="24"/>
                <w:szCs w:val="24"/>
              </w:rPr>
              <w:t>-</w:t>
            </w:r>
            <w:r w:rsidRPr="000C156A">
              <w:rPr>
                <w:spacing w:val="-2"/>
              </w:rPr>
              <w:t>American Development Bank (EI BID)</w:t>
            </w:r>
          </w:p>
        </w:tc>
        <w:tc>
          <w:tcPr>
            <w:tcW w:w="5528" w:type="dxa"/>
            <w:shd w:val="clear" w:color="auto" w:fill="auto"/>
          </w:tcPr>
          <w:p w14:paraId="239A8FC0" w14:textId="77777777" w:rsidR="00C77AE3" w:rsidRPr="000C156A" w:rsidRDefault="00C77AE3" w:rsidP="00773700">
            <w:pPr>
              <w:widowControl/>
              <w:autoSpaceDE/>
              <w:autoSpaceDN/>
              <w:jc w:val="both"/>
              <w:rPr>
                <w:lang w:val="en-GB"/>
              </w:rPr>
            </w:pPr>
          </w:p>
        </w:tc>
      </w:tr>
      <w:tr w:rsidR="00C77AE3" w:rsidRPr="000C156A" w14:paraId="20E86FD1" w14:textId="77777777" w:rsidTr="009F48CE">
        <w:tc>
          <w:tcPr>
            <w:tcW w:w="10201" w:type="dxa"/>
            <w:gridSpan w:val="2"/>
            <w:shd w:val="clear" w:color="auto" w:fill="auto"/>
            <w:vAlign w:val="center"/>
          </w:tcPr>
          <w:p w14:paraId="62EFB465" w14:textId="77777777" w:rsidR="00C77AE3" w:rsidRPr="000C156A" w:rsidRDefault="00C77AE3" w:rsidP="00773700">
            <w:pPr>
              <w:kinsoku w:val="0"/>
              <w:overflowPunct w:val="0"/>
              <w:autoSpaceDE/>
              <w:autoSpaceDN/>
              <w:spacing w:before="138" w:after="148" w:line="198" w:lineRule="exact"/>
              <w:jc w:val="center"/>
              <w:textAlignment w:val="baseline"/>
              <w:rPr>
                <w:b/>
                <w:bCs/>
                <w:spacing w:val="-2"/>
                <w:lang w:val="en-GB"/>
              </w:rPr>
            </w:pPr>
            <w:r w:rsidRPr="000C156A">
              <w:rPr>
                <w:b/>
                <w:bCs/>
                <w:spacing w:val="-2"/>
                <w:lang w:val="en-GB"/>
              </w:rPr>
              <w:t>List published in the Circular Letter n. 11/E of 28 March 2012</w:t>
            </w:r>
          </w:p>
        </w:tc>
      </w:tr>
    </w:tbl>
    <w:p w14:paraId="1F1E8400" w14:textId="3176B335" w:rsidR="00C52843" w:rsidRPr="000C156A" w:rsidRDefault="00C52843" w:rsidP="001B290E">
      <w:pPr>
        <w:tabs>
          <w:tab w:val="left" w:pos="338"/>
        </w:tabs>
        <w:spacing w:before="82"/>
        <w:rPr>
          <w:sz w:val="16"/>
          <w:lang w:val="en-GB"/>
        </w:rPr>
      </w:pPr>
    </w:p>
    <w:sectPr w:rsidR="00C52843" w:rsidRPr="000C156A">
      <w:pgSz w:w="11910" w:h="16840"/>
      <w:pgMar w:top="620" w:right="88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3A201" w14:textId="77777777" w:rsidR="0034095D" w:rsidRDefault="0034095D" w:rsidP="001B290E">
      <w:r>
        <w:separator/>
      </w:r>
    </w:p>
  </w:endnote>
  <w:endnote w:type="continuationSeparator" w:id="0">
    <w:p w14:paraId="07481517" w14:textId="77777777" w:rsidR="0034095D" w:rsidRDefault="0034095D" w:rsidP="001B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237A3" w14:textId="77777777" w:rsidR="0034095D" w:rsidRDefault="0034095D" w:rsidP="001B290E">
      <w:r>
        <w:separator/>
      </w:r>
    </w:p>
  </w:footnote>
  <w:footnote w:type="continuationSeparator" w:id="0">
    <w:p w14:paraId="3CC7EB2C" w14:textId="77777777" w:rsidR="0034095D" w:rsidRDefault="0034095D" w:rsidP="001B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DA53" w14:textId="77777777" w:rsidR="001B290E" w:rsidRPr="001B290E" w:rsidRDefault="001B290E" w:rsidP="001B290E">
    <w:pPr>
      <w:jc w:val="center"/>
      <w:rPr>
        <w:b/>
        <w:bCs/>
        <w:color w:val="444444"/>
        <w:sz w:val="18"/>
        <w:szCs w:val="18"/>
        <w:shd w:val="clear" w:color="auto" w:fill="FFFFFF"/>
      </w:rPr>
    </w:pPr>
    <w:r w:rsidRPr="001B290E">
      <w:rPr>
        <w:b/>
        <w:bCs/>
        <w:color w:val="444444"/>
        <w:sz w:val="18"/>
        <w:szCs w:val="18"/>
        <w:shd w:val="clear" w:color="auto" w:fill="FFFFFF"/>
      </w:rPr>
      <w:t>ITALIAN FINANCIAL TRANSACTION TAX</w:t>
    </w:r>
  </w:p>
  <w:p w14:paraId="76D56DE7" w14:textId="77777777" w:rsidR="001B290E" w:rsidRPr="001B290E" w:rsidRDefault="001B290E" w:rsidP="001B290E">
    <w:pPr>
      <w:jc w:val="center"/>
      <w:rPr>
        <w:b/>
        <w:bCs/>
        <w:color w:val="444444"/>
        <w:sz w:val="18"/>
        <w:szCs w:val="18"/>
        <w:shd w:val="clear" w:color="auto" w:fill="FFFFFF"/>
      </w:rPr>
    </w:pPr>
    <w:r w:rsidRPr="001B290E">
      <w:rPr>
        <w:b/>
        <w:bCs/>
        <w:color w:val="444444"/>
        <w:sz w:val="18"/>
        <w:szCs w:val="18"/>
        <w:shd w:val="clear" w:color="auto" w:fill="FFFFFF"/>
      </w:rPr>
      <w:t>EXEMPTION APPLICATION FORM</w:t>
    </w:r>
  </w:p>
  <w:p w14:paraId="74E62941" w14:textId="77777777" w:rsidR="001B290E" w:rsidRPr="001B290E" w:rsidRDefault="001B290E" w:rsidP="001B290E">
    <w:pPr>
      <w:jc w:val="both"/>
      <w:rPr>
        <w:color w:val="444444"/>
        <w:sz w:val="18"/>
        <w:szCs w:val="18"/>
        <w:shd w:val="clear" w:color="auto" w:fill="FFFFFF"/>
      </w:rPr>
    </w:pPr>
  </w:p>
  <w:p w14:paraId="3CC9AA02" w14:textId="77777777" w:rsidR="001B290E" w:rsidRPr="001B290E" w:rsidRDefault="001B290E" w:rsidP="001B290E">
    <w:pPr>
      <w:jc w:val="both"/>
      <w:rPr>
        <w:color w:val="444444"/>
        <w:sz w:val="18"/>
        <w:szCs w:val="18"/>
        <w:shd w:val="clear" w:color="auto" w:fill="FFFFFF"/>
      </w:rPr>
    </w:pPr>
    <w:r w:rsidRPr="001B290E">
      <w:rPr>
        <w:color w:val="444444"/>
        <w:sz w:val="18"/>
        <w:szCs w:val="18"/>
        <w:shd w:val="clear" w:color="auto" w:fill="FFFFFF"/>
      </w:rPr>
      <w:t xml:space="preserve">This letter is published by the Association for Financial Markets in Europe (AFME).  Its purpose is to provide a standard form for entities claiming exemption from the Italian financial transactions tax (‘FTT’) under </w:t>
    </w:r>
    <w:r w:rsidRPr="001B290E">
      <w:rPr>
        <w:sz w:val="18"/>
        <w:szCs w:val="18"/>
      </w:rPr>
      <w:t>Article 19, par. 3, of the Treasury Decree 21 February 2013</w:t>
    </w:r>
    <w:r w:rsidRPr="001B290E">
      <w:rPr>
        <w:color w:val="444444"/>
        <w:sz w:val="18"/>
        <w:szCs w:val="18"/>
        <w:shd w:val="clear" w:color="auto" w:fill="FFFFFF"/>
      </w:rPr>
      <w:t xml:space="preserve">, as amended or superseded from time to time. </w:t>
    </w:r>
  </w:p>
  <w:p w14:paraId="1F8BF142" w14:textId="77777777" w:rsidR="001B290E" w:rsidRPr="001B290E" w:rsidRDefault="001B290E" w:rsidP="001B290E">
    <w:pPr>
      <w:jc w:val="both"/>
      <w:rPr>
        <w:color w:val="444444"/>
        <w:sz w:val="18"/>
        <w:szCs w:val="18"/>
        <w:shd w:val="clear" w:color="auto" w:fill="FFFFFF"/>
      </w:rPr>
    </w:pPr>
  </w:p>
  <w:p w14:paraId="56B34558" w14:textId="77777777" w:rsidR="001B290E" w:rsidRPr="001B290E" w:rsidRDefault="001B290E" w:rsidP="001B290E">
    <w:pPr>
      <w:jc w:val="both"/>
      <w:rPr>
        <w:color w:val="444444"/>
        <w:sz w:val="18"/>
        <w:szCs w:val="18"/>
        <w:shd w:val="clear" w:color="auto" w:fill="FFFFFF"/>
      </w:rPr>
    </w:pPr>
    <w:r w:rsidRPr="001B290E">
      <w:rPr>
        <w:sz w:val="18"/>
        <w:szCs w:val="18"/>
      </w:rPr>
      <w:t xml:space="preserve">The letter has been prepared solely for use as a template on a voluntary basis. It is not </w:t>
    </w:r>
    <w:r w:rsidRPr="001B290E">
      <w:rPr>
        <w:color w:val="444444"/>
        <w:sz w:val="18"/>
        <w:szCs w:val="18"/>
        <w:shd w:val="clear" w:color="auto" w:fill="FFFFFF"/>
      </w:rPr>
      <w:t>endorsed by AFME or by the Italian tax authorities. Individual parties are free to depart from the terms of this form and should always satisfy themselves regarding the legal, regulatory, taxation, and accounting implications of its use.</w:t>
    </w:r>
  </w:p>
  <w:p w14:paraId="36782F0A" w14:textId="77777777" w:rsidR="001B290E" w:rsidRPr="001B290E" w:rsidRDefault="001B290E" w:rsidP="001B290E">
    <w:pPr>
      <w:tabs>
        <w:tab w:val="left" w:pos="2011"/>
      </w:tabs>
      <w:jc w:val="both"/>
      <w:rPr>
        <w:color w:val="444444"/>
        <w:sz w:val="18"/>
        <w:szCs w:val="18"/>
        <w:shd w:val="clear" w:color="auto" w:fill="FFFFFF"/>
      </w:rPr>
    </w:pPr>
    <w:r>
      <w:rPr>
        <w:color w:val="444444"/>
        <w:sz w:val="18"/>
        <w:szCs w:val="18"/>
        <w:shd w:val="clear" w:color="auto" w:fill="FFFFFF"/>
      </w:rPr>
      <w:tab/>
    </w:r>
  </w:p>
  <w:p w14:paraId="3BB165F4" w14:textId="77777777" w:rsidR="001B290E" w:rsidRPr="001B290E" w:rsidRDefault="001B290E" w:rsidP="001B290E">
    <w:pPr>
      <w:jc w:val="both"/>
      <w:rPr>
        <w:color w:val="444444"/>
        <w:sz w:val="18"/>
        <w:szCs w:val="18"/>
        <w:shd w:val="clear" w:color="auto" w:fill="FFFFFF"/>
      </w:rPr>
    </w:pPr>
    <w:r w:rsidRPr="001B290E">
      <w:rPr>
        <w:color w:val="444444"/>
        <w:sz w:val="18"/>
        <w:szCs w:val="18"/>
        <w:shd w:val="clear" w:color="auto" w:fill="FFFFFF"/>
      </w:rPr>
      <w:t xml:space="preserve">The letter is intended to create legal rights and obligations and parties should take legal advice on its terms and effect before using. AFME makes no representations, warranties or guarantees, express or implied, including without limitation as to the accuracy, completeness, timeliness, or suitability of the document. </w:t>
    </w:r>
  </w:p>
  <w:p w14:paraId="1FA11AE2" w14:textId="77777777" w:rsidR="001B290E" w:rsidRPr="001B290E" w:rsidRDefault="001B290E" w:rsidP="001B290E">
    <w:pPr>
      <w:jc w:val="both"/>
      <w:rPr>
        <w:color w:val="444444"/>
        <w:sz w:val="18"/>
        <w:szCs w:val="18"/>
        <w:shd w:val="clear" w:color="auto" w:fill="FFFFFF"/>
      </w:rPr>
    </w:pPr>
  </w:p>
  <w:p w14:paraId="02911065" w14:textId="77777777" w:rsidR="001B290E" w:rsidRPr="001B290E" w:rsidRDefault="001B290E" w:rsidP="001B290E">
    <w:pPr>
      <w:jc w:val="both"/>
      <w:rPr>
        <w:color w:val="444444"/>
        <w:sz w:val="18"/>
        <w:szCs w:val="18"/>
        <w:shd w:val="clear" w:color="auto" w:fill="FFFFFF"/>
      </w:rPr>
    </w:pPr>
    <w:r w:rsidRPr="001B290E">
      <w:rPr>
        <w:color w:val="444444"/>
        <w:sz w:val="18"/>
        <w:szCs w:val="18"/>
        <w:shd w:val="clear" w:color="auto" w:fill="FFFFFF"/>
      </w:rPr>
      <w:t>Your receipt of this document is subject to paragraphs 3, 4, 5, 9, 10, 11 and 13 of the Terms of Use which are applicable to AFME’s website (available at http:// https://www.afme.eu/About-Us/Terms-of-use) and, for the purposes of such Terms of Use, this document shall be considered a “Material” (regardless of whether you have received or accessed it via AFME’s website or otherwise).</w:t>
    </w:r>
  </w:p>
  <w:p w14:paraId="5B25991B" w14:textId="77777777" w:rsidR="001B290E" w:rsidRPr="001B290E" w:rsidRDefault="001B290E" w:rsidP="001B2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B010A"/>
    <w:multiLevelType w:val="hybridMultilevel"/>
    <w:tmpl w:val="12361EA8"/>
    <w:lvl w:ilvl="0" w:tplc="88A6A9DC">
      <w:start w:val="1"/>
      <w:numFmt w:val="decimal"/>
      <w:lvlText w:val="%1."/>
      <w:lvlJc w:val="left"/>
      <w:pPr>
        <w:ind w:left="372" w:hanging="184"/>
        <w:jc w:val="left"/>
      </w:pPr>
      <w:rPr>
        <w:rFonts w:ascii="Times New Roman" w:eastAsia="Times New Roman" w:hAnsi="Times New Roman" w:cs="Times New Roman" w:hint="default"/>
        <w:b w:val="0"/>
        <w:bCs w:val="0"/>
        <w:i w:val="0"/>
        <w:iCs w:val="0"/>
        <w:spacing w:val="0"/>
        <w:w w:val="100"/>
        <w:sz w:val="16"/>
        <w:szCs w:val="16"/>
        <w:lang w:val="en-US" w:eastAsia="en-US" w:bidi="ar-SA"/>
      </w:rPr>
    </w:lvl>
    <w:lvl w:ilvl="1" w:tplc="E7DC5E82">
      <w:start w:val="1"/>
      <w:numFmt w:val="lowerLetter"/>
      <w:lvlText w:val="(%2)"/>
      <w:lvlJc w:val="left"/>
      <w:pPr>
        <w:ind w:left="588" w:hanging="216"/>
        <w:jc w:val="left"/>
      </w:pPr>
      <w:rPr>
        <w:rFonts w:ascii="Times New Roman" w:eastAsia="Times New Roman" w:hAnsi="Times New Roman" w:cs="Times New Roman" w:hint="default"/>
        <w:b w:val="0"/>
        <w:bCs w:val="0"/>
        <w:i w:val="0"/>
        <w:iCs w:val="0"/>
        <w:spacing w:val="-2"/>
        <w:w w:val="100"/>
        <w:sz w:val="16"/>
        <w:szCs w:val="16"/>
        <w:lang w:val="en-US" w:eastAsia="en-US" w:bidi="ar-SA"/>
      </w:rPr>
    </w:lvl>
    <w:lvl w:ilvl="2" w:tplc="2B12AC3A">
      <w:numFmt w:val="bullet"/>
      <w:lvlText w:val="•"/>
      <w:lvlJc w:val="left"/>
      <w:pPr>
        <w:ind w:left="1634" w:hanging="216"/>
      </w:pPr>
      <w:rPr>
        <w:rFonts w:hint="default"/>
        <w:lang w:val="en-US" w:eastAsia="en-US" w:bidi="ar-SA"/>
      </w:rPr>
    </w:lvl>
    <w:lvl w:ilvl="3" w:tplc="B74082AE">
      <w:numFmt w:val="bullet"/>
      <w:lvlText w:val="•"/>
      <w:lvlJc w:val="left"/>
      <w:pPr>
        <w:ind w:left="2689" w:hanging="216"/>
      </w:pPr>
      <w:rPr>
        <w:rFonts w:hint="default"/>
        <w:lang w:val="en-US" w:eastAsia="en-US" w:bidi="ar-SA"/>
      </w:rPr>
    </w:lvl>
    <w:lvl w:ilvl="4" w:tplc="DAB260CC">
      <w:numFmt w:val="bullet"/>
      <w:lvlText w:val="•"/>
      <w:lvlJc w:val="left"/>
      <w:pPr>
        <w:ind w:left="3744" w:hanging="216"/>
      </w:pPr>
      <w:rPr>
        <w:rFonts w:hint="default"/>
        <w:lang w:val="en-US" w:eastAsia="en-US" w:bidi="ar-SA"/>
      </w:rPr>
    </w:lvl>
    <w:lvl w:ilvl="5" w:tplc="C680992E">
      <w:numFmt w:val="bullet"/>
      <w:lvlText w:val="•"/>
      <w:lvlJc w:val="left"/>
      <w:pPr>
        <w:ind w:left="4798" w:hanging="216"/>
      </w:pPr>
      <w:rPr>
        <w:rFonts w:hint="default"/>
        <w:lang w:val="en-US" w:eastAsia="en-US" w:bidi="ar-SA"/>
      </w:rPr>
    </w:lvl>
    <w:lvl w:ilvl="6" w:tplc="F058143A">
      <w:numFmt w:val="bullet"/>
      <w:lvlText w:val="•"/>
      <w:lvlJc w:val="left"/>
      <w:pPr>
        <w:ind w:left="5853" w:hanging="216"/>
      </w:pPr>
      <w:rPr>
        <w:rFonts w:hint="default"/>
        <w:lang w:val="en-US" w:eastAsia="en-US" w:bidi="ar-SA"/>
      </w:rPr>
    </w:lvl>
    <w:lvl w:ilvl="7" w:tplc="42760C5A">
      <w:numFmt w:val="bullet"/>
      <w:lvlText w:val="•"/>
      <w:lvlJc w:val="left"/>
      <w:pPr>
        <w:ind w:left="6908" w:hanging="216"/>
      </w:pPr>
      <w:rPr>
        <w:rFonts w:hint="default"/>
        <w:lang w:val="en-US" w:eastAsia="en-US" w:bidi="ar-SA"/>
      </w:rPr>
    </w:lvl>
    <w:lvl w:ilvl="8" w:tplc="2D7AE9E6">
      <w:numFmt w:val="bullet"/>
      <w:lvlText w:val="•"/>
      <w:lvlJc w:val="left"/>
      <w:pPr>
        <w:ind w:left="7962" w:hanging="216"/>
      </w:pPr>
      <w:rPr>
        <w:rFonts w:hint="default"/>
        <w:lang w:val="en-US" w:eastAsia="en-US" w:bidi="ar-SA"/>
      </w:rPr>
    </w:lvl>
  </w:abstractNum>
  <w:abstractNum w:abstractNumId="1" w15:restartNumberingAfterBreak="0">
    <w:nsid w:val="4E640684"/>
    <w:multiLevelType w:val="hybridMultilevel"/>
    <w:tmpl w:val="508470C4"/>
    <w:lvl w:ilvl="0" w:tplc="787C9D80">
      <w:start w:val="1"/>
      <w:numFmt w:val="decimal"/>
      <w:lvlText w:val="%1."/>
      <w:lvlJc w:val="left"/>
      <w:pPr>
        <w:ind w:left="520" w:hanging="160"/>
        <w:jc w:val="left"/>
      </w:pPr>
      <w:rPr>
        <w:rFonts w:ascii="Times New Roman" w:eastAsia="Times New Roman" w:hAnsi="Times New Roman" w:cs="Times New Roman" w:hint="default"/>
        <w:b w:val="0"/>
        <w:bCs w:val="0"/>
        <w:i w:val="0"/>
        <w:iCs w:val="0"/>
        <w:spacing w:val="0"/>
        <w:w w:val="100"/>
        <w:sz w:val="16"/>
        <w:szCs w:val="16"/>
        <w:lang w:val="en-US" w:eastAsia="en-US" w:bidi="ar-SA"/>
      </w:rPr>
    </w:lvl>
    <w:lvl w:ilvl="1" w:tplc="C81C6606">
      <w:start w:val="1"/>
      <w:numFmt w:val="decimal"/>
      <w:lvlText w:val="%2."/>
      <w:lvlJc w:val="left"/>
      <w:pPr>
        <w:ind w:left="360" w:hanging="164"/>
        <w:jc w:val="left"/>
      </w:pPr>
      <w:rPr>
        <w:rFonts w:ascii="Times New Roman" w:eastAsia="Times New Roman" w:hAnsi="Times New Roman" w:cs="Times New Roman" w:hint="default"/>
        <w:b w:val="0"/>
        <w:bCs w:val="0"/>
        <w:i w:val="0"/>
        <w:iCs w:val="0"/>
        <w:spacing w:val="0"/>
        <w:w w:val="100"/>
        <w:sz w:val="16"/>
        <w:szCs w:val="16"/>
        <w:lang w:val="en-US" w:eastAsia="en-US" w:bidi="ar-SA"/>
      </w:rPr>
    </w:lvl>
    <w:lvl w:ilvl="2" w:tplc="5C628842">
      <w:numFmt w:val="bullet"/>
      <w:lvlText w:val="•"/>
      <w:lvlJc w:val="left"/>
      <w:pPr>
        <w:ind w:left="1581" w:hanging="164"/>
      </w:pPr>
      <w:rPr>
        <w:rFonts w:hint="default"/>
        <w:lang w:val="en-US" w:eastAsia="en-US" w:bidi="ar-SA"/>
      </w:rPr>
    </w:lvl>
    <w:lvl w:ilvl="3" w:tplc="CB28345A">
      <w:numFmt w:val="bullet"/>
      <w:lvlText w:val="•"/>
      <w:lvlJc w:val="left"/>
      <w:pPr>
        <w:ind w:left="2642" w:hanging="164"/>
      </w:pPr>
      <w:rPr>
        <w:rFonts w:hint="default"/>
        <w:lang w:val="en-US" w:eastAsia="en-US" w:bidi="ar-SA"/>
      </w:rPr>
    </w:lvl>
    <w:lvl w:ilvl="4" w:tplc="AF7A6A98">
      <w:numFmt w:val="bullet"/>
      <w:lvlText w:val="•"/>
      <w:lvlJc w:val="left"/>
      <w:pPr>
        <w:ind w:left="3704" w:hanging="164"/>
      </w:pPr>
      <w:rPr>
        <w:rFonts w:hint="default"/>
        <w:lang w:val="en-US" w:eastAsia="en-US" w:bidi="ar-SA"/>
      </w:rPr>
    </w:lvl>
    <w:lvl w:ilvl="5" w:tplc="D0D63928">
      <w:numFmt w:val="bullet"/>
      <w:lvlText w:val="•"/>
      <w:lvlJc w:val="left"/>
      <w:pPr>
        <w:ind w:left="4765" w:hanging="164"/>
      </w:pPr>
      <w:rPr>
        <w:rFonts w:hint="default"/>
        <w:lang w:val="en-US" w:eastAsia="en-US" w:bidi="ar-SA"/>
      </w:rPr>
    </w:lvl>
    <w:lvl w:ilvl="6" w:tplc="37645CAE">
      <w:numFmt w:val="bullet"/>
      <w:lvlText w:val="•"/>
      <w:lvlJc w:val="left"/>
      <w:pPr>
        <w:ind w:left="5826" w:hanging="164"/>
      </w:pPr>
      <w:rPr>
        <w:rFonts w:hint="default"/>
        <w:lang w:val="en-US" w:eastAsia="en-US" w:bidi="ar-SA"/>
      </w:rPr>
    </w:lvl>
    <w:lvl w:ilvl="7" w:tplc="09346522">
      <w:numFmt w:val="bullet"/>
      <w:lvlText w:val="•"/>
      <w:lvlJc w:val="left"/>
      <w:pPr>
        <w:ind w:left="6888" w:hanging="164"/>
      </w:pPr>
      <w:rPr>
        <w:rFonts w:hint="default"/>
        <w:lang w:val="en-US" w:eastAsia="en-US" w:bidi="ar-SA"/>
      </w:rPr>
    </w:lvl>
    <w:lvl w:ilvl="8" w:tplc="63261C7E">
      <w:numFmt w:val="bullet"/>
      <w:lvlText w:val="•"/>
      <w:lvlJc w:val="left"/>
      <w:pPr>
        <w:ind w:left="7949" w:hanging="164"/>
      </w:pPr>
      <w:rPr>
        <w:rFonts w:hint="default"/>
        <w:lang w:val="en-US" w:eastAsia="en-US" w:bidi="ar-SA"/>
      </w:rPr>
    </w:lvl>
  </w:abstractNum>
  <w:abstractNum w:abstractNumId="2" w15:restartNumberingAfterBreak="0">
    <w:nsid w:val="6F416C81"/>
    <w:multiLevelType w:val="hybridMultilevel"/>
    <w:tmpl w:val="B518ED50"/>
    <w:lvl w:ilvl="0" w:tplc="C534FDB2">
      <w:start w:val="2"/>
      <w:numFmt w:val="decimal"/>
      <w:lvlText w:val="%1."/>
      <w:lvlJc w:val="left"/>
      <w:pPr>
        <w:ind w:left="372" w:hanging="168"/>
        <w:jc w:val="left"/>
      </w:pPr>
      <w:rPr>
        <w:rFonts w:ascii="Times New Roman" w:eastAsia="Times New Roman" w:hAnsi="Times New Roman" w:cs="Times New Roman" w:hint="default"/>
        <w:b w:val="0"/>
        <w:bCs w:val="0"/>
        <w:i w:val="0"/>
        <w:iCs w:val="0"/>
        <w:spacing w:val="0"/>
        <w:w w:val="100"/>
        <w:sz w:val="16"/>
        <w:szCs w:val="16"/>
        <w:lang w:val="en-US" w:eastAsia="en-US" w:bidi="ar-SA"/>
      </w:rPr>
    </w:lvl>
    <w:lvl w:ilvl="1" w:tplc="3C8C23A6">
      <w:start w:val="1"/>
      <w:numFmt w:val="lowerLetter"/>
      <w:lvlText w:val="(%2)"/>
      <w:lvlJc w:val="left"/>
      <w:pPr>
        <w:ind w:left="372" w:hanging="232"/>
        <w:jc w:val="left"/>
      </w:pPr>
      <w:rPr>
        <w:rFonts w:ascii="Times New Roman" w:eastAsia="Times New Roman" w:hAnsi="Times New Roman" w:cs="Times New Roman" w:hint="default"/>
        <w:b w:val="0"/>
        <w:bCs w:val="0"/>
        <w:i w:val="0"/>
        <w:iCs w:val="0"/>
        <w:spacing w:val="-2"/>
        <w:w w:val="100"/>
        <w:sz w:val="16"/>
        <w:szCs w:val="16"/>
        <w:lang w:val="en-US" w:eastAsia="en-US" w:bidi="ar-SA"/>
      </w:rPr>
    </w:lvl>
    <w:lvl w:ilvl="2" w:tplc="126E5D26">
      <w:numFmt w:val="bullet"/>
      <w:lvlText w:val="•"/>
      <w:lvlJc w:val="left"/>
      <w:pPr>
        <w:ind w:left="2318" w:hanging="232"/>
      </w:pPr>
      <w:rPr>
        <w:rFonts w:hint="default"/>
        <w:lang w:val="en-US" w:eastAsia="en-US" w:bidi="ar-SA"/>
      </w:rPr>
    </w:lvl>
    <w:lvl w:ilvl="3" w:tplc="F02ED8AC">
      <w:numFmt w:val="bullet"/>
      <w:lvlText w:val="•"/>
      <w:lvlJc w:val="left"/>
      <w:pPr>
        <w:ind w:left="3287" w:hanging="232"/>
      </w:pPr>
      <w:rPr>
        <w:rFonts w:hint="default"/>
        <w:lang w:val="en-US" w:eastAsia="en-US" w:bidi="ar-SA"/>
      </w:rPr>
    </w:lvl>
    <w:lvl w:ilvl="4" w:tplc="E4A074FA">
      <w:numFmt w:val="bullet"/>
      <w:lvlText w:val="•"/>
      <w:lvlJc w:val="left"/>
      <w:pPr>
        <w:ind w:left="4256" w:hanging="232"/>
      </w:pPr>
      <w:rPr>
        <w:rFonts w:hint="default"/>
        <w:lang w:val="en-US" w:eastAsia="en-US" w:bidi="ar-SA"/>
      </w:rPr>
    </w:lvl>
    <w:lvl w:ilvl="5" w:tplc="239EA8F4">
      <w:numFmt w:val="bullet"/>
      <w:lvlText w:val="•"/>
      <w:lvlJc w:val="left"/>
      <w:pPr>
        <w:ind w:left="5226" w:hanging="232"/>
      </w:pPr>
      <w:rPr>
        <w:rFonts w:hint="default"/>
        <w:lang w:val="en-US" w:eastAsia="en-US" w:bidi="ar-SA"/>
      </w:rPr>
    </w:lvl>
    <w:lvl w:ilvl="6" w:tplc="2538413C">
      <w:numFmt w:val="bullet"/>
      <w:lvlText w:val="•"/>
      <w:lvlJc w:val="left"/>
      <w:pPr>
        <w:ind w:left="6195" w:hanging="232"/>
      </w:pPr>
      <w:rPr>
        <w:rFonts w:hint="default"/>
        <w:lang w:val="en-US" w:eastAsia="en-US" w:bidi="ar-SA"/>
      </w:rPr>
    </w:lvl>
    <w:lvl w:ilvl="7" w:tplc="FFBC9B7C">
      <w:numFmt w:val="bullet"/>
      <w:lvlText w:val="•"/>
      <w:lvlJc w:val="left"/>
      <w:pPr>
        <w:ind w:left="7164" w:hanging="232"/>
      </w:pPr>
      <w:rPr>
        <w:rFonts w:hint="default"/>
        <w:lang w:val="en-US" w:eastAsia="en-US" w:bidi="ar-SA"/>
      </w:rPr>
    </w:lvl>
    <w:lvl w:ilvl="8" w:tplc="5EC882AA">
      <w:numFmt w:val="bullet"/>
      <w:lvlText w:val="•"/>
      <w:lvlJc w:val="left"/>
      <w:pPr>
        <w:ind w:left="8133" w:hanging="232"/>
      </w:pPr>
      <w:rPr>
        <w:rFonts w:hint="default"/>
        <w:lang w:val="en-US" w:eastAsia="en-US" w:bidi="ar-SA"/>
      </w:rPr>
    </w:lvl>
  </w:abstractNum>
  <w:abstractNum w:abstractNumId="3" w15:restartNumberingAfterBreak="0">
    <w:nsid w:val="70AF37CC"/>
    <w:multiLevelType w:val="hybridMultilevel"/>
    <w:tmpl w:val="A356B68C"/>
    <w:lvl w:ilvl="0" w:tplc="930A7B86">
      <w:start w:val="1"/>
      <w:numFmt w:val="decimal"/>
      <w:lvlText w:val="(%1)"/>
      <w:lvlJc w:val="left"/>
      <w:pPr>
        <w:ind w:left="340" w:hanging="224"/>
        <w:jc w:val="left"/>
      </w:pPr>
      <w:rPr>
        <w:rFonts w:ascii="Times New Roman" w:eastAsia="Times New Roman" w:hAnsi="Times New Roman" w:cs="Times New Roman" w:hint="default"/>
        <w:b w:val="0"/>
        <w:bCs w:val="0"/>
        <w:i w:val="0"/>
        <w:iCs w:val="0"/>
        <w:spacing w:val="-2"/>
        <w:w w:val="100"/>
        <w:sz w:val="16"/>
        <w:szCs w:val="16"/>
        <w:lang w:val="en-US" w:eastAsia="en-US" w:bidi="ar-SA"/>
      </w:rPr>
    </w:lvl>
    <w:lvl w:ilvl="1" w:tplc="3F620F5A">
      <w:numFmt w:val="bullet"/>
      <w:lvlText w:val="•"/>
      <w:lvlJc w:val="left"/>
      <w:pPr>
        <w:ind w:left="1336" w:hanging="224"/>
      </w:pPr>
      <w:rPr>
        <w:rFonts w:hint="default"/>
        <w:lang w:val="en-US" w:eastAsia="en-US" w:bidi="ar-SA"/>
      </w:rPr>
    </w:lvl>
    <w:lvl w:ilvl="2" w:tplc="563A4970">
      <w:numFmt w:val="bullet"/>
      <w:lvlText w:val="•"/>
      <w:lvlJc w:val="left"/>
      <w:pPr>
        <w:ind w:left="2333" w:hanging="224"/>
      </w:pPr>
      <w:rPr>
        <w:rFonts w:hint="default"/>
        <w:lang w:val="en-US" w:eastAsia="en-US" w:bidi="ar-SA"/>
      </w:rPr>
    </w:lvl>
    <w:lvl w:ilvl="3" w:tplc="B1F816F6">
      <w:numFmt w:val="bullet"/>
      <w:lvlText w:val="•"/>
      <w:lvlJc w:val="left"/>
      <w:pPr>
        <w:ind w:left="3330" w:hanging="224"/>
      </w:pPr>
      <w:rPr>
        <w:rFonts w:hint="default"/>
        <w:lang w:val="en-US" w:eastAsia="en-US" w:bidi="ar-SA"/>
      </w:rPr>
    </w:lvl>
    <w:lvl w:ilvl="4" w:tplc="549C770C">
      <w:numFmt w:val="bullet"/>
      <w:lvlText w:val="•"/>
      <w:lvlJc w:val="left"/>
      <w:pPr>
        <w:ind w:left="4327" w:hanging="224"/>
      </w:pPr>
      <w:rPr>
        <w:rFonts w:hint="default"/>
        <w:lang w:val="en-US" w:eastAsia="en-US" w:bidi="ar-SA"/>
      </w:rPr>
    </w:lvl>
    <w:lvl w:ilvl="5" w:tplc="909084DE">
      <w:numFmt w:val="bullet"/>
      <w:lvlText w:val="•"/>
      <w:lvlJc w:val="left"/>
      <w:pPr>
        <w:ind w:left="5324" w:hanging="224"/>
      </w:pPr>
      <w:rPr>
        <w:rFonts w:hint="default"/>
        <w:lang w:val="en-US" w:eastAsia="en-US" w:bidi="ar-SA"/>
      </w:rPr>
    </w:lvl>
    <w:lvl w:ilvl="6" w:tplc="D2EE7CCE">
      <w:numFmt w:val="bullet"/>
      <w:lvlText w:val="•"/>
      <w:lvlJc w:val="left"/>
      <w:pPr>
        <w:ind w:left="6320" w:hanging="224"/>
      </w:pPr>
      <w:rPr>
        <w:rFonts w:hint="default"/>
        <w:lang w:val="en-US" w:eastAsia="en-US" w:bidi="ar-SA"/>
      </w:rPr>
    </w:lvl>
    <w:lvl w:ilvl="7" w:tplc="4D08AA5C">
      <w:numFmt w:val="bullet"/>
      <w:lvlText w:val="•"/>
      <w:lvlJc w:val="left"/>
      <w:pPr>
        <w:ind w:left="7317" w:hanging="224"/>
      </w:pPr>
      <w:rPr>
        <w:rFonts w:hint="default"/>
        <w:lang w:val="en-US" w:eastAsia="en-US" w:bidi="ar-SA"/>
      </w:rPr>
    </w:lvl>
    <w:lvl w:ilvl="8" w:tplc="321EF31E">
      <w:numFmt w:val="bullet"/>
      <w:lvlText w:val="•"/>
      <w:lvlJc w:val="left"/>
      <w:pPr>
        <w:ind w:left="8314" w:hanging="224"/>
      </w:pPr>
      <w:rPr>
        <w:rFonts w:hint="default"/>
        <w:lang w:val="en-US" w:eastAsia="en-US" w:bidi="ar-SA"/>
      </w:rPr>
    </w:lvl>
  </w:abstractNum>
  <w:num w:numId="1" w16cid:durableId="855532958">
    <w:abstractNumId w:val="3"/>
  </w:num>
  <w:num w:numId="2" w16cid:durableId="1308706484">
    <w:abstractNumId w:val="1"/>
  </w:num>
  <w:num w:numId="3" w16cid:durableId="1799640505">
    <w:abstractNumId w:val="2"/>
  </w:num>
  <w:num w:numId="4" w16cid:durableId="312492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43"/>
    <w:rsid w:val="000054FE"/>
    <w:rsid w:val="000C156A"/>
    <w:rsid w:val="00190BD3"/>
    <w:rsid w:val="001B290E"/>
    <w:rsid w:val="002E13C1"/>
    <w:rsid w:val="0034095D"/>
    <w:rsid w:val="006E0727"/>
    <w:rsid w:val="008127CF"/>
    <w:rsid w:val="009F48CE"/>
    <w:rsid w:val="00A541C9"/>
    <w:rsid w:val="00C52843"/>
    <w:rsid w:val="00C77AE3"/>
    <w:rsid w:val="00F94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E83BB"/>
  <w15:docId w15:val="{FF73E44D-C4C5-4FEC-9A61-297C0502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76"/>
      <w:ind w:left="3281" w:right="1761" w:hanging="241"/>
    </w:pPr>
    <w:rPr>
      <w:b/>
      <w:bCs/>
      <w:sz w:val="18"/>
      <w:szCs w:val="18"/>
    </w:rPr>
  </w:style>
  <w:style w:type="paragraph" w:styleId="ListParagraph">
    <w:name w:val="List Paragraph"/>
    <w:basedOn w:val="Normal"/>
    <w:uiPriority w:val="1"/>
    <w:qFormat/>
    <w:pPr>
      <w:ind w:left="338" w:hanging="222"/>
    </w:pPr>
  </w:style>
  <w:style w:type="paragraph" w:customStyle="1" w:styleId="TableParagraph">
    <w:name w:val="Table Paragraph"/>
    <w:basedOn w:val="Normal"/>
    <w:uiPriority w:val="1"/>
    <w:qFormat/>
    <w:pPr>
      <w:ind w:left="108"/>
    </w:pPr>
  </w:style>
  <w:style w:type="paragraph" w:styleId="Header">
    <w:name w:val="header"/>
    <w:basedOn w:val="Normal"/>
    <w:link w:val="HeaderChar"/>
    <w:unhideWhenUsed/>
    <w:rsid w:val="001B290E"/>
    <w:pPr>
      <w:tabs>
        <w:tab w:val="center" w:pos="4513"/>
        <w:tab w:val="right" w:pos="9026"/>
      </w:tabs>
    </w:pPr>
  </w:style>
  <w:style w:type="character" w:customStyle="1" w:styleId="HeaderChar">
    <w:name w:val="Header Char"/>
    <w:basedOn w:val="DefaultParagraphFont"/>
    <w:link w:val="Header"/>
    <w:uiPriority w:val="99"/>
    <w:rsid w:val="001B290E"/>
    <w:rPr>
      <w:rFonts w:ascii="Times New Roman" w:eastAsia="Times New Roman" w:hAnsi="Times New Roman" w:cs="Times New Roman"/>
    </w:rPr>
  </w:style>
  <w:style w:type="paragraph" w:styleId="Footer">
    <w:name w:val="footer"/>
    <w:basedOn w:val="Normal"/>
    <w:link w:val="FooterChar"/>
    <w:uiPriority w:val="99"/>
    <w:unhideWhenUsed/>
    <w:rsid w:val="001B290E"/>
    <w:pPr>
      <w:tabs>
        <w:tab w:val="center" w:pos="4513"/>
        <w:tab w:val="right" w:pos="9026"/>
      </w:tabs>
    </w:pPr>
  </w:style>
  <w:style w:type="character" w:customStyle="1" w:styleId="FooterChar">
    <w:name w:val="Footer Char"/>
    <w:basedOn w:val="DefaultParagraphFont"/>
    <w:link w:val="Footer"/>
    <w:uiPriority w:val="99"/>
    <w:rsid w:val="001B290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75685020D5C241BBF0FE9266D16C9F" ma:contentTypeVersion="8" ma:contentTypeDescription="Create a new document." ma:contentTypeScope="" ma:versionID="2d2ecfbe09e3c88c3b7aecbfb536d09a">
  <xsd:schema xmlns:xsd="http://www.w3.org/2001/XMLSchema" xmlns:xs="http://www.w3.org/2001/XMLSchema" xmlns:p="http://schemas.microsoft.com/office/2006/metadata/properties" xmlns:ns2="672229bf-77ac-4c6b-b33e-ce0f0609d463" xmlns:ns3="964cb2ec-de84-4d6c-9e6f-47b217b585eb" targetNamespace="http://schemas.microsoft.com/office/2006/metadata/properties" ma:root="true" ma:fieldsID="9716ed01c6410e7552dac0e37fcb512a" ns2:_="" ns3:_="">
    <xsd:import namespace="672229bf-77ac-4c6b-b33e-ce0f0609d463"/>
    <xsd:import namespace="964cb2ec-de84-4d6c-9e6f-47b217b585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29bf-77ac-4c6b-b33e-ce0f0609d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cb2ec-de84-4d6c-9e6f-47b217b585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EEAF0-B481-4F41-A549-37DE55E0DFDC}"/>
</file>

<file path=customXml/itemProps2.xml><?xml version="1.0" encoding="utf-8"?>
<ds:datastoreItem xmlns:ds="http://schemas.openxmlformats.org/officeDocument/2006/customXml" ds:itemID="{E0087A6F-F17D-4548-BE93-74D94CCB11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D85316-F903-43FF-AB6C-D30D430DE9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6806</Characters>
  <Application>Microsoft Office Word</Application>
  <DocSecurity>0</DocSecurity>
  <Lines>56</Lines>
  <Paragraphs>15</Paragraphs>
  <ScaleCrop>false</ScaleCrop>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116</dc:title>
  <dc:creator>Gabriele Paoli</dc:creator>
  <cp:lastModifiedBy>Ashley Bailey</cp:lastModifiedBy>
  <cp:revision>7</cp:revision>
  <dcterms:created xsi:type="dcterms:W3CDTF">2023-07-12T10:21:00Z</dcterms:created>
  <dcterms:modified xsi:type="dcterms:W3CDTF">2023-07-17T07:57:00Z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Microsoft® Word for Microsoft 365</vt:lpwstr>
  </property>
  <property fmtid="{D5CDD505-2E9C-101B-9397-08002B2CF9AE}" pid="4" name="LastSaved">
    <vt:filetime>2023-07-06T00:00:00Z</vt:filetime>
  </property>
  <property fmtid="{D5CDD505-2E9C-101B-9397-08002B2CF9AE}" pid="5" name="Producer">
    <vt:lpwstr>Microsoft® Word for Microsoft 365</vt:lpwstr>
  </property>
  <property fmtid="{D5CDD505-2E9C-101B-9397-08002B2CF9AE}" pid="6" name="ContentTypeId">
    <vt:lpwstr>0x0101001F75685020D5C241BBF0FE9266D16C9F</vt:lpwstr>
  </property>
</Properties>
</file>