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8A9A6" w14:textId="77777777" w:rsidR="00282272" w:rsidRPr="004F22A2" w:rsidRDefault="00EA75C4" w:rsidP="0040580A">
      <w:pPr>
        <w:pStyle w:val="Title"/>
        <w:outlineLvl w:val="0"/>
      </w:pPr>
      <w:bookmarkStart w:id="0" w:name="_Hlk498502198"/>
      <w:bookmarkStart w:id="1" w:name="_Hlk482713671"/>
      <w:r>
        <w:t>Comunicato stampa</w:t>
      </w:r>
    </w:p>
    <w:p w14:paraId="25912D4F" w14:textId="523D5495" w:rsidR="003F7F16" w:rsidRPr="004F22A2" w:rsidRDefault="003A6D99" w:rsidP="0040580A">
      <w:pPr>
        <w:pStyle w:val="Date"/>
        <w:spacing w:after="0" w:line="240" w:lineRule="auto"/>
        <w:outlineLvl w:val="0"/>
        <w:rPr>
          <w:rFonts w:ascii="Cambria" w:hAnsi="Cambria"/>
          <w:b/>
          <w:bCs/>
          <w:sz w:val="28"/>
          <w:szCs w:val="28"/>
        </w:rPr>
      </w:pPr>
      <w:r>
        <w:rPr>
          <w:rFonts w:ascii="Cambria" w:hAnsi="Cambria"/>
          <w:b/>
          <w:bCs/>
          <w:sz w:val="28"/>
          <w:szCs w:val="28"/>
        </w:rPr>
        <w:t>L’Unione dei mercati dei capitali necessita di azioni più coraggiose per superare gli ostacoli restanti</w:t>
      </w:r>
      <w:bookmarkStart w:id="2" w:name="_GoBack"/>
      <w:bookmarkEnd w:id="2"/>
    </w:p>
    <w:p w14:paraId="4AB3162D" w14:textId="105D54F3" w:rsidR="00806D8E" w:rsidRPr="001B2A09" w:rsidRDefault="00B022A9" w:rsidP="00A117F5">
      <w:pPr>
        <w:pStyle w:val="Date"/>
        <w:spacing w:after="0" w:line="240" w:lineRule="auto"/>
        <w:rPr>
          <w:sz w:val="25"/>
          <w:szCs w:val="25"/>
        </w:rPr>
      </w:pPr>
      <w:r>
        <w:rPr>
          <w:sz w:val="25"/>
          <w:szCs w:val="25"/>
        </w:rPr>
        <w:t>P</w:t>
      </w:r>
      <w:r w:rsidR="00154C09">
        <w:rPr>
          <w:sz w:val="25"/>
          <w:szCs w:val="25"/>
        </w:rPr>
        <w:t>ubblica</w:t>
      </w:r>
      <w:r>
        <w:rPr>
          <w:sz w:val="25"/>
          <w:szCs w:val="25"/>
        </w:rPr>
        <w:t>ta</w:t>
      </w:r>
      <w:r w:rsidR="00154C09">
        <w:rPr>
          <w:sz w:val="25"/>
          <w:szCs w:val="25"/>
        </w:rPr>
        <w:t xml:space="preserve"> la seconda edizione della relazione </w:t>
      </w:r>
      <w:r w:rsidR="008B52ED">
        <w:rPr>
          <w:sz w:val="25"/>
          <w:szCs w:val="25"/>
        </w:rPr>
        <w:t xml:space="preserve">congiunta </w:t>
      </w:r>
      <w:r w:rsidR="00154C09">
        <w:rPr>
          <w:sz w:val="25"/>
          <w:szCs w:val="25"/>
        </w:rPr>
        <w:t xml:space="preserve">sugli Indicatori chiave di prestazione </w:t>
      </w:r>
    </w:p>
    <w:p w14:paraId="4D83E7AC" w14:textId="4AF11D05" w:rsidR="00F871DC" w:rsidRPr="009034DC" w:rsidRDefault="00CA51C8" w:rsidP="00A117F5">
      <w:pPr>
        <w:pStyle w:val="Date"/>
        <w:spacing w:after="0" w:line="240" w:lineRule="auto"/>
      </w:pPr>
      <w:r w:rsidRPr="00F918E9">
        <w:t>16</w:t>
      </w:r>
      <w:r>
        <w:t xml:space="preserve"> ottobre </w:t>
      </w:r>
      <w:r w:rsidRPr="00F918E9">
        <w:t>2019</w:t>
      </w:r>
    </w:p>
    <w:bookmarkEnd w:id="0"/>
    <w:p w14:paraId="21D355AD" w14:textId="2D559B95" w:rsidR="001D17A4" w:rsidRDefault="001D17A4" w:rsidP="006433EB">
      <w:pPr>
        <w:pStyle w:val="BodyText"/>
        <w:spacing w:after="0" w:line="240" w:lineRule="auto"/>
      </w:pPr>
    </w:p>
    <w:p w14:paraId="26FD8C97" w14:textId="62A0264A" w:rsidR="00777AF5" w:rsidRDefault="00426C77" w:rsidP="00A4518F">
      <w:pPr>
        <w:pStyle w:val="BodyText"/>
        <w:spacing w:after="0" w:line="240" w:lineRule="auto"/>
      </w:pPr>
      <w:r>
        <w:t xml:space="preserve">L’AFME, in collaborazione con </w:t>
      </w:r>
      <w:r w:rsidRPr="00F918E9">
        <w:t>10</w:t>
      </w:r>
      <w:r>
        <w:t xml:space="preserve"> organizzazioni internazionali che rappresentano gli stakeholder dei mercati dei capitali europei e mondiali, ha pubblicato oggi la seconda edizione della sua relazione annuale che riepiloga i progressi compiuti finora nel progetto di Unione dei mercati dei capitali (UMC), rappresentante il fiore all’occhiello della Commissione europea, tramite otto Indicatori chiave di prestazione (ICP). </w:t>
      </w:r>
    </w:p>
    <w:p w14:paraId="358AE282" w14:textId="2C206ACC" w:rsidR="00EC7BB9" w:rsidRDefault="00EC7BB9" w:rsidP="00A4518F">
      <w:pPr>
        <w:pStyle w:val="BodyText"/>
        <w:spacing w:after="0" w:line="240" w:lineRule="auto"/>
      </w:pPr>
    </w:p>
    <w:p w14:paraId="38C83BD0" w14:textId="1455AF0A" w:rsidR="00777AF5" w:rsidRDefault="00777AF5" w:rsidP="00A4518F">
      <w:pPr>
        <w:spacing w:line="240" w:lineRule="auto"/>
        <w:jc w:val="both"/>
      </w:pPr>
      <w:r>
        <w:t>La relazione, intitolata “</w:t>
      </w:r>
      <w:r>
        <w:rPr>
          <w:b/>
        </w:rPr>
        <w:t>Indicatori chiave di prestazione dell’Unione dei mercati dei capitali</w:t>
      </w:r>
      <w:r>
        <w:t xml:space="preserve">”, include un confronto paese per paese dei progressi compiuti dai vari Stati membri dell’Ue rispetto agli obiettivi dell’UMC. La relazione annuale comprende ora un nuovo indicatore che misura l’efficacia con la quale i </w:t>
      </w:r>
      <w:r w:rsidRPr="00F918E9">
        <w:t>28</w:t>
      </w:r>
      <w:r>
        <w:t xml:space="preserve"> paesi dell’Ue permettono l’investimento nelle FinTech. </w:t>
      </w:r>
    </w:p>
    <w:p w14:paraId="5F416E0D" w14:textId="6C27CC86" w:rsidR="00D52A85" w:rsidRDefault="00D52A85" w:rsidP="00A4518F">
      <w:pPr>
        <w:spacing w:line="240" w:lineRule="auto"/>
        <w:jc w:val="both"/>
        <w:rPr>
          <w:rFonts w:cs="Calibri"/>
          <w:lang w:eastAsia="en-US"/>
        </w:rPr>
      </w:pPr>
    </w:p>
    <w:p w14:paraId="0F3364ED" w14:textId="0346F369" w:rsidR="00D52A85" w:rsidRPr="008814EE" w:rsidRDefault="00D52A85" w:rsidP="00A4518F">
      <w:pPr>
        <w:spacing w:line="240" w:lineRule="auto"/>
        <w:jc w:val="both"/>
        <w:rPr>
          <w:rFonts w:cs="Calibri"/>
          <w:i/>
        </w:rPr>
      </w:pPr>
      <w:r>
        <w:rPr>
          <w:b/>
        </w:rPr>
        <w:t>Simon Lewis, Chief Executive dell’AFME</w:t>
      </w:r>
      <w:r>
        <w:t xml:space="preserve">, ha dichiarato: </w:t>
      </w:r>
      <w:r>
        <w:rPr>
          <w:i/>
        </w:rPr>
        <w:t>“Mentre l’Ue intraprende un nuovo ciclo politico, esiste un’attenzione sempre maggiore verso la necessità che la Commissione Europea sviluppi ulteriormente l’Unione dei mercati dei capitali. Se è vero che alcuni indicatori nella nostra relazione evidenzino una traiettoria positiva rispetto ai risultati dello scorso anno, come la leadership mondiale dell’Europa nel campo della finanza sostenibile, è chiaro che resta ancora molto lavoro da fare a livello europeo e nazionale, in particolare per rendere più competitivi i mercati dei capitali europei”.</w:t>
      </w:r>
    </w:p>
    <w:p w14:paraId="57248AE0" w14:textId="77777777" w:rsidR="003B21F1" w:rsidRDefault="003B21F1" w:rsidP="00A4518F">
      <w:pPr>
        <w:spacing w:line="240" w:lineRule="auto"/>
        <w:jc w:val="both"/>
        <w:rPr>
          <w:rFonts w:cs="Calibri"/>
          <w:lang w:eastAsia="en-US"/>
        </w:rPr>
      </w:pPr>
    </w:p>
    <w:p w14:paraId="4E8E5611" w14:textId="0578F566" w:rsidR="00416F71" w:rsidRPr="00461ED3" w:rsidRDefault="00324DF8" w:rsidP="0040580A">
      <w:pPr>
        <w:spacing w:line="240" w:lineRule="auto"/>
        <w:jc w:val="both"/>
        <w:outlineLvl w:val="0"/>
        <w:rPr>
          <w:rFonts w:cs="Calibri"/>
          <w:b/>
          <w:sz w:val="24"/>
          <w:szCs w:val="24"/>
          <w:u w:val="single"/>
        </w:rPr>
      </w:pPr>
      <w:r>
        <w:rPr>
          <w:b/>
          <w:sz w:val="24"/>
          <w:szCs w:val="24"/>
          <w:u w:val="single"/>
        </w:rPr>
        <w:t>Gli otto ICP valutano i progressi nelle seguenti aree prioritarie della politica dell’UMC:</w:t>
      </w:r>
    </w:p>
    <w:p w14:paraId="631F42A6" w14:textId="68AA5A41" w:rsidR="00416F71" w:rsidRPr="00416F71" w:rsidRDefault="00416F71" w:rsidP="00A4518F">
      <w:pPr>
        <w:numPr>
          <w:ilvl w:val="0"/>
          <w:numId w:val="29"/>
        </w:numPr>
        <w:spacing w:line="240" w:lineRule="auto"/>
        <w:jc w:val="both"/>
        <w:rPr>
          <w:rFonts w:cs="Calibri"/>
        </w:rPr>
      </w:pPr>
      <w:r>
        <w:rPr>
          <w:u w:val="single"/>
        </w:rPr>
        <w:t>Indicatore relativo alla finanza di mercato</w:t>
      </w:r>
      <w:r>
        <w:rPr>
          <w:b/>
        </w:rPr>
        <w:t>:</w:t>
      </w:r>
      <w:r>
        <w:t xml:space="preserve"> </w:t>
      </w:r>
      <w:r w:rsidR="007C3D0C" w:rsidRPr="007C3D0C">
        <w:t>facilità</w:t>
      </w:r>
      <w:r w:rsidR="000F6A1B">
        <w:t xml:space="preserve"> di accesso ai</w:t>
      </w:r>
      <w:r>
        <w:t xml:space="preserve"> mercati pubblici e di raccolta dei capitali da parte delle aziende;</w:t>
      </w:r>
    </w:p>
    <w:p w14:paraId="414CBAAA" w14:textId="6742BE0A" w:rsidR="00416F71" w:rsidRPr="00416F71" w:rsidRDefault="00416F71" w:rsidP="00A4518F">
      <w:pPr>
        <w:numPr>
          <w:ilvl w:val="0"/>
          <w:numId w:val="29"/>
        </w:numPr>
        <w:spacing w:line="240" w:lineRule="auto"/>
        <w:jc w:val="both"/>
        <w:rPr>
          <w:rFonts w:cs="Calibri"/>
        </w:rPr>
      </w:pPr>
      <w:r>
        <w:rPr>
          <w:u w:val="single"/>
        </w:rPr>
        <w:t xml:space="preserve">Indicatore relativo agli investimenti </w:t>
      </w:r>
      <w:r w:rsidR="000F6A1B">
        <w:rPr>
          <w:u w:val="single"/>
        </w:rPr>
        <w:t>privati</w:t>
      </w:r>
      <w:r>
        <w:t xml:space="preserve">: in quale misura viene favorito l’investimento </w:t>
      </w:r>
      <w:r w:rsidR="000F6A1B">
        <w:t>da parte di famiglie e privati</w:t>
      </w:r>
      <w:r>
        <w:t>;</w:t>
      </w:r>
    </w:p>
    <w:p w14:paraId="37A1D5DD" w14:textId="06817C53" w:rsidR="00416F71" w:rsidRDefault="00416F71" w:rsidP="00A4518F">
      <w:pPr>
        <w:numPr>
          <w:ilvl w:val="0"/>
          <w:numId w:val="29"/>
        </w:numPr>
        <w:spacing w:line="240" w:lineRule="auto"/>
        <w:jc w:val="both"/>
        <w:rPr>
          <w:rFonts w:cs="Calibri"/>
        </w:rPr>
      </w:pPr>
      <w:r>
        <w:rPr>
          <w:u w:val="single"/>
        </w:rPr>
        <w:t xml:space="preserve">Indicatore di trasferimento </w:t>
      </w:r>
      <w:r w:rsidR="000F6A1B">
        <w:rPr>
          <w:u w:val="single"/>
        </w:rPr>
        <w:t>del credito</w:t>
      </w:r>
      <w:r>
        <w:rPr>
          <w:u w:val="single"/>
        </w:rPr>
        <w:t>:</w:t>
      </w:r>
      <w:r>
        <w:t xml:space="preserve"> in quale misura la capacità bancaria sta sostenendo l’economia in generale; </w:t>
      </w:r>
    </w:p>
    <w:p w14:paraId="2B28249B" w14:textId="308B24D7" w:rsidR="00CA51C8" w:rsidRPr="00416F71" w:rsidRDefault="00CA51C8" w:rsidP="00A4518F">
      <w:pPr>
        <w:numPr>
          <w:ilvl w:val="0"/>
          <w:numId w:val="29"/>
        </w:numPr>
        <w:spacing w:line="240" w:lineRule="auto"/>
        <w:jc w:val="both"/>
        <w:rPr>
          <w:rFonts w:cs="Calibri"/>
        </w:rPr>
      </w:pPr>
      <w:r>
        <w:rPr>
          <w:u w:val="single"/>
        </w:rPr>
        <w:t>Indicatore relativo alle FinTech:</w:t>
      </w:r>
      <w:r>
        <w:t xml:space="preserve"> in quale misura </w:t>
      </w:r>
      <w:r w:rsidR="000F6A1B">
        <w:t>gli Stati membri</w:t>
      </w:r>
      <w:r>
        <w:t xml:space="preserve"> permettono l’investimento nelle FinTech;</w:t>
      </w:r>
    </w:p>
    <w:p w14:paraId="56964B69" w14:textId="022394ED" w:rsidR="00416F71" w:rsidRPr="00416F71" w:rsidRDefault="00416F71" w:rsidP="00A4518F">
      <w:pPr>
        <w:numPr>
          <w:ilvl w:val="0"/>
          <w:numId w:val="29"/>
        </w:numPr>
        <w:spacing w:line="240" w:lineRule="auto"/>
        <w:jc w:val="both"/>
        <w:rPr>
          <w:rFonts w:cs="Calibri"/>
        </w:rPr>
      </w:pPr>
      <w:r>
        <w:rPr>
          <w:u w:val="single"/>
        </w:rPr>
        <w:t>Indicatore relativo alla Finanza sostenibile:</w:t>
      </w:r>
      <w:r>
        <w:t xml:space="preserve"> in quale misura vengono effettuati investimenti a lungo termine in infrastrutture e investimenti sostenibili;</w:t>
      </w:r>
    </w:p>
    <w:p w14:paraId="5ED7E9F6" w14:textId="78E0D48B" w:rsidR="00416F71" w:rsidRPr="00416F71" w:rsidRDefault="00416F71" w:rsidP="00A4518F">
      <w:pPr>
        <w:numPr>
          <w:ilvl w:val="0"/>
          <w:numId w:val="29"/>
        </w:numPr>
        <w:spacing w:line="240" w:lineRule="auto"/>
        <w:jc w:val="both"/>
        <w:rPr>
          <w:rFonts w:cs="Calibri"/>
        </w:rPr>
      </w:pPr>
      <w:r w:rsidRPr="007C3D0C">
        <w:rPr>
          <w:u w:val="single"/>
        </w:rPr>
        <w:t xml:space="preserve">Indicatore </w:t>
      </w:r>
      <w:r w:rsidR="007C3D0C">
        <w:rPr>
          <w:u w:val="single"/>
        </w:rPr>
        <w:t>relativo all’accesso al</w:t>
      </w:r>
      <w:r w:rsidR="007C3D0C" w:rsidRPr="007C3D0C">
        <w:rPr>
          <w:u w:val="single"/>
        </w:rPr>
        <w:t xml:space="preserve"> </w:t>
      </w:r>
      <w:r w:rsidRPr="007C3D0C">
        <w:rPr>
          <w:u w:val="single"/>
        </w:rPr>
        <w:t xml:space="preserve">capitale di rischio per </w:t>
      </w:r>
      <w:r w:rsidR="007C3D0C">
        <w:rPr>
          <w:u w:val="single"/>
        </w:rPr>
        <w:t>la</w:t>
      </w:r>
      <w:r w:rsidRPr="007C3D0C">
        <w:rPr>
          <w:u w:val="single"/>
        </w:rPr>
        <w:t xml:space="preserve"> quotazione in </w:t>
      </w:r>
      <w:r>
        <w:rPr>
          <w:u w:val="single"/>
        </w:rPr>
        <w:t>Borsa</w:t>
      </w:r>
      <w:r>
        <w:rPr>
          <w:b/>
        </w:rPr>
        <w:t>:</w:t>
      </w:r>
      <w:r>
        <w:t xml:space="preserve"> in che modo le start-up e le società non quotate sono in grado di accedere con successo </w:t>
      </w:r>
      <w:r w:rsidR="000F6A1B">
        <w:t>ai finanziamenti per l’innovazione</w:t>
      </w:r>
      <w:r>
        <w:t>;</w:t>
      </w:r>
    </w:p>
    <w:p w14:paraId="1C377503" w14:textId="40A71DC2" w:rsidR="00416F71" w:rsidRPr="00416F71" w:rsidRDefault="00416F71" w:rsidP="00A4518F">
      <w:pPr>
        <w:numPr>
          <w:ilvl w:val="0"/>
          <w:numId w:val="29"/>
        </w:numPr>
        <w:spacing w:line="240" w:lineRule="auto"/>
        <w:jc w:val="both"/>
        <w:rPr>
          <w:rFonts w:cs="Calibri"/>
        </w:rPr>
      </w:pPr>
      <w:r>
        <w:rPr>
          <w:u w:val="single"/>
        </w:rPr>
        <w:t>Indicatore relativo alla finanza transfrontaliera:</w:t>
      </w:r>
      <w:r>
        <w:t xml:space="preserve"> in quale misura vengono promossi gli investimenti transfrontalieri; </w:t>
      </w:r>
    </w:p>
    <w:p w14:paraId="1690A41F" w14:textId="612CAC83" w:rsidR="00416F71" w:rsidRPr="00F3453F" w:rsidRDefault="00416F71" w:rsidP="00A4518F">
      <w:pPr>
        <w:numPr>
          <w:ilvl w:val="0"/>
          <w:numId w:val="29"/>
        </w:numPr>
        <w:spacing w:line="240" w:lineRule="auto"/>
        <w:jc w:val="both"/>
        <w:rPr>
          <w:rFonts w:cs="Calibri"/>
        </w:rPr>
      </w:pPr>
      <w:r w:rsidRPr="007C3D0C">
        <w:rPr>
          <w:u w:val="single"/>
        </w:rPr>
        <w:t>Indicatore relativo allo spessore del mercato:</w:t>
      </w:r>
      <w:r w:rsidRPr="00B022A9">
        <w:t xml:space="preserve"> misura lo spessore </w:t>
      </w:r>
      <w:r w:rsidRPr="007C3D0C">
        <w:t>dei mercati</w:t>
      </w:r>
      <w:r>
        <w:t xml:space="preserve"> dei capitali dell’Ue.</w:t>
      </w:r>
    </w:p>
    <w:p w14:paraId="25EF204A" w14:textId="250A6107" w:rsidR="00416F71" w:rsidRPr="00F3453F" w:rsidRDefault="00416F71" w:rsidP="00A4518F">
      <w:pPr>
        <w:spacing w:line="240" w:lineRule="auto"/>
        <w:jc w:val="both"/>
        <w:rPr>
          <w:rFonts w:cs="Calibri"/>
          <w:lang w:eastAsia="en-US"/>
        </w:rPr>
      </w:pPr>
    </w:p>
    <w:p w14:paraId="2A475F0A" w14:textId="5ADC4C5C" w:rsidR="007A1D42" w:rsidRPr="00F3453F" w:rsidRDefault="007A1D42" w:rsidP="0040580A">
      <w:pPr>
        <w:spacing w:line="240" w:lineRule="auto"/>
        <w:jc w:val="both"/>
        <w:outlineLvl w:val="0"/>
        <w:rPr>
          <w:rFonts w:cs="Calibri"/>
          <w:b/>
          <w:sz w:val="24"/>
          <w:szCs w:val="24"/>
          <w:u w:val="single"/>
        </w:rPr>
      </w:pPr>
      <w:r>
        <w:rPr>
          <w:b/>
          <w:sz w:val="24"/>
          <w:szCs w:val="24"/>
          <w:u w:val="single"/>
        </w:rPr>
        <w:t>Principali risultati che emergono dalla relazione:</w:t>
      </w:r>
    </w:p>
    <w:p w14:paraId="563D747C" w14:textId="4244FDD0" w:rsidR="008A7448" w:rsidRPr="00F3453F" w:rsidRDefault="008A7448" w:rsidP="00A4518F">
      <w:pPr>
        <w:pStyle w:val="ListParagraph"/>
        <w:numPr>
          <w:ilvl w:val="0"/>
          <w:numId w:val="30"/>
        </w:numPr>
        <w:spacing w:line="240" w:lineRule="auto"/>
        <w:jc w:val="both"/>
        <w:rPr>
          <w:rFonts w:cs="Calibri"/>
        </w:rPr>
      </w:pPr>
      <w:r>
        <w:rPr>
          <w:b/>
        </w:rPr>
        <w:t>L’Europa ha rafforzato la leadership mondiale nella finanza sostenibile</w:t>
      </w:r>
    </w:p>
    <w:p w14:paraId="409582DA" w14:textId="5BAB3CBF" w:rsidR="008A7448" w:rsidRPr="00F3453F" w:rsidRDefault="00F77647" w:rsidP="00A4518F">
      <w:pPr>
        <w:spacing w:line="240" w:lineRule="auto"/>
        <w:jc w:val="both"/>
        <w:rPr>
          <w:rFonts w:ascii="Cambria" w:hAnsi="Cambria"/>
        </w:rPr>
      </w:pPr>
      <w:r>
        <w:rPr>
          <w:rFonts w:ascii="Cambria" w:hAnsi="Cambria"/>
        </w:rPr>
        <w:t xml:space="preserve">Nel corso del </w:t>
      </w:r>
      <w:r w:rsidRPr="00F918E9">
        <w:rPr>
          <w:rFonts w:ascii="Cambria" w:hAnsi="Cambria"/>
        </w:rPr>
        <w:t>2018</w:t>
      </w:r>
      <w:r>
        <w:rPr>
          <w:rFonts w:ascii="Cambria" w:hAnsi="Cambria"/>
        </w:rPr>
        <w:t xml:space="preserve"> le emissioni di </w:t>
      </w:r>
      <w:r>
        <w:rPr>
          <w:rFonts w:ascii="Cambria" w:hAnsi="Cambria"/>
          <w:i/>
          <w:iCs/>
        </w:rPr>
        <w:t>green bond</w:t>
      </w:r>
      <w:r>
        <w:rPr>
          <w:rFonts w:ascii="Cambria" w:hAnsi="Cambria"/>
        </w:rPr>
        <w:t xml:space="preserve">, obbligazioni sociali o titoli obbligazionari aventi entrambe le caratteristiche (ossia obbligazioni che possono essere definite sia </w:t>
      </w:r>
      <w:r>
        <w:rPr>
          <w:rFonts w:ascii="Cambria" w:hAnsi="Cambria"/>
          <w:i/>
          <w:iCs/>
        </w:rPr>
        <w:t xml:space="preserve">green </w:t>
      </w:r>
      <w:r>
        <w:rPr>
          <w:rFonts w:ascii="Cambria" w:hAnsi="Cambria"/>
        </w:rPr>
        <w:t xml:space="preserve">che sociali) sono aumentate del </w:t>
      </w:r>
      <w:r w:rsidRPr="00F918E9">
        <w:rPr>
          <w:rFonts w:ascii="Cambria" w:hAnsi="Cambria"/>
        </w:rPr>
        <w:t>16</w:t>
      </w:r>
      <w:r>
        <w:rPr>
          <w:rFonts w:ascii="Cambria" w:hAnsi="Cambria"/>
        </w:rPr>
        <w:t xml:space="preserve">% nell’Ue, raggiungendo i </w:t>
      </w:r>
      <w:r w:rsidRPr="00F918E9">
        <w:rPr>
          <w:rFonts w:ascii="Cambria" w:hAnsi="Cambria"/>
        </w:rPr>
        <w:t>69</w:t>
      </w:r>
      <w:r>
        <w:rPr>
          <w:rFonts w:ascii="Cambria" w:hAnsi="Cambria"/>
        </w:rPr>
        <w:t xml:space="preserve"> miliardi di euro, pari a un incremento di </w:t>
      </w:r>
      <w:r w:rsidRPr="00F918E9">
        <w:rPr>
          <w:rFonts w:ascii="Cambria" w:hAnsi="Cambria"/>
        </w:rPr>
        <w:t>9</w:t>
      </w:r>
      <w:r>
        <w:rPr>
          <w:rFonts w:ascii="Cambria" w:hAnsi="Cambria"/>
        </w:rPr>
        <w:t xml:space="preserve"> miliardi di euro rispetto al </w:t>
      </w:r>
      <w:r w:rsidRPr="00F918E9">
        <w:rPr>
          <w:rFonts w:ascii="Cambria" w:hAnsi="Cambria"/>
        </w:rPr>
        <w:t>2017</w:t>
      </w:r>
      <w:r>
        <w:rPr>
          <w:rFonts w:ascii="Cambria" w:hAnsi="Cambria"/>
        </w:rPr>
        <w:t>.</w:t>
      </w:r>
    </w:p>
    <w:p w14:paraId="53464F1E" w14:textId="4B5602AC" w:rsidR="00A162A3" w:rsidRPr="00F3453F" w:rsidRDefault="00A162A3" w:rsidP="00A4518F">
      <w:pPr>
        <w:spacing w:line="240" w:lineRule="auto"/>
        <w:jc w:val="both"/>
        <w:rPr>
          <w:rFonts w:ascii="Cambria" w:hAnsi="Cambria"/>
        </w:rPr>
      </w:pPr>
    </w:p>
    <w:p w14:paraId="0DA8FE4F" w14:textId="0AD11248" w:rsidR="00A162A3" w:rsidRPr="00F3453F" w:rsidRDefault="00A162A3" w:rsidP="00A4518F">
      <w:pPr>
        <w:pStyle w:val="ListParagraph"/>
        <w:numPr>
          <w:ilvl w:val="0"/>
          <w:numId w:val="30"/>
        </w:numPr>
        <w:spacing w:line="240" w:lineRule="auto"/>
        <w:jc w:val="both"/>
        <w:rPr>
          <w:rFonts w:ascii="Cambria" w:hAnsi="Cambria"/>
        </w:rPr>
      </w:pPr>
      <w:r>
        <w:rPr>
          <w:rFonts w:ascii="Cambria" w:hAnsi="Cambria"/>
          <w:b/>
        </w:rPr>
        <w:lastRenderedPageBreak/>
        <w:t xml:space="preserve">L’Europa dei </w:t>
      </w:r>
      <w:r w:rsidRPr="00F918E9">
        <w:rPr>
          <w:rFonts w:ascii="Cambria" w:hAnsi="Cambria"/>
          <w:b/>
        </w:rPr>
        <w:t>27</w:t>
      </w:r>
      <w:r>
        <w:rPr>
          <w:rFonts w:ascii="Cambria" w:hAnsi="Cambria"/>
          <w:b/>
        </w:rPr>
        <w:t xml:space="preserve"> è in ritardo rispetto al finanziamento delle FinTech</w:t>
      </w:r>
    </w:p>
    <w:p w14:paraId="0BC3FF4E" w14:textId="6446D301" w:rsidR="00A162A3" w:rsidRDefault="00A162A3" w:rsidP="00A4518F">
      <w:pPr>
        <w:spacing w:line="240" w:lineRule="auto"/>
        <w:jc w:val="both"/>
        <w:rPr>
          <w:rFonts w:ascii="Cambria" w:hAnsi="Cambria"/>
        </w:rPr>
      </w:pPr>
      <w:r>
        <w:rPr>
          <w:rFonts w:ascii="Cambria" w:hAnsi="Cambria"/>
        </w:rPr>
        <w:t xml:space="preserve">Le società FinTech dei </w:t>
      </w:r>
      <w:r w:rsidRPr="00F918E9">
        <w:rPr>
          <w:rFonts w:ascii="Cambria" w:hAnsi="Cambria"/>
        </w:rPr>
        <w:t>27</w:t>
      </w:r>
      <w:r>
        <w:rPr>
          <w:rFonts w:ascii="Cambria" w:hAnsi="Cambria"/>
        </w:rPr>
        <w:t xml:space="preserve"> paesi Ue hanno beneficiato solo di </w:t>
      </w:r>
      <w:r w:rsidRPr="00F918E9">
        <w:rPr>
          <w:rFonts w:ascii="Cambria" w:hAnsi="Cambria"/>
        </w:rPr>
        <w:t>7</w:t>
      </w:r>
      <w:r>
        <w:rPr>
          <w:rFonts w:ascii="Cambria" w:hAnsi="Cambria"/>
        </w:rPr>
        <w:t>,</w:t>
      </w:r>
      <w:r w:rsidRPr="00F918E9">
        <w:rPr>
          <w:rFonts w:ascii="Cambria" w:hAnsi="Cambria"/>
        </w:rPr>
        <w:t>2</w:t>
      </w:r>
      <w:r>
        <w:rPr>
          <w:rFonts w:ascii="Cambria" w:hAnsi="Cambria"/>
        </w:rPr>
        <w:t xml:space="preserve"> miliardi di dollari di investimenti (</w:t>
      </w:r>
      <w:r>
        <w:rPr>
          <w:rFonts w:ascii="Cambria" w:hAnsi="Cambria"/>
          <w:i/>
          <w:iCs/>
        </w:rPr>
        <w:t>venture capital</w:t>
      </w:r>
      <w:r>
        <w:rPr>
          <w:rFonts w:ascii="Cambria" w:hAnsi="Cambria"/>
        </w:rPr>
        <w:t xml:space="preserve">, finanziamenti di avviamento, </w:t>
      </w:r>
      <w:r>
        <w:rPr>
          <w:rFonts w:ascii="Cambria" w:hAnsi="Cambria"/>
          <w:i/>
          <w:iCs/>
        </w:rPr>
        <w:t xml:space="preserve">business angel </w:t>
      </w:r>
      <w:r>
        <w:rPr>
          <w:rFonts w:ascii="Cambria" w:hAnsi="Cambria"/>
        </w:rPr>
        <w:t xml:space="preserve">e </w:t>
      </w:r>
      <w:r>
        <w:rPr>
          <w:rFonts w:ascii="Cambria" w:hAnsi="Cambria"/>
          <w:i/>
          <w:iCs/>
        </w:rPr>
        <w:t>private equity</w:t>
      </w:r>
      <w:r>
        <w:rPr>
          <w:rFonts w:ascii="Cambria" w:hAnsi="Cambria"/>
        </w:rPr>
        <w:t xml:space="preserve">) dal </w:t>
      </w:r>
      <w:r w:rsidRPr="00F918E9">
        <w:rPr>
          <w:rFonts w:ascii="Cambria" w:hAnsi="Cambria"/>
        </w:rPr>
        <w:t>2009</w:t>
      </w:r>
      <w:r>
        <w:rPr>
          <w:rFonts w:ascii="Cambria" w:hAnsi="Cambria"/>
        </w:rPr>
        <w:t xml:space="preserve">, rispetto a </w:t>
      </w:r>
      <w:r w:rsidRPr="00F918E9">
        <w:rPr>
          <w:rFonts w:ascii="Cambria" w:hAnsi="Cambria"/>
        </w:rPr>
        <w:t>120</w:t>
      </w:r>
      <w:r>
        <w:rPr>
          <w:rFonts w:ascii="Cambria" w:hAnsi="Cambria"/>
        </w:rPr>
        <w:t xml:space="preserve"> miliardi di dollari negli Stati Uniti, </w:t>
      </w:r>
      <w:r w:rsidRPr="00F918E9">
        <w:rPr>
          <w:rFonts w:ascii="Cambria" w:hAnsi="Cambria"/>
        </w:rPr>
        <w:t>20</w:t>
      </w:r>
      <w:r>
        <w:rPr>
          <w:rFonts w:ascii="Cambria" w:hAnsi="Cambria"/>
        </w:rPr>
        <w:t>,</w:t>
      </w:r>
      <w:r w:rsidRPr="00F918E9">
        <w:rPr>
          <w:rFonts w:ascii="Cambria" w:hAnsi="Cambria"/>
        </w:rPr>
        <w:t>3</w:t>
      </w:r>
      <w:r>
        <w:rPr>
          <w:rFonts w:ascii="Cambria" w:hAnsi="Cambria"/>
        </w:rPr>
        <w:t xml:space="preserve"> miliardi di dollari nel Regno Unito e </w:t>
      </w:r>
      <w:r w:rsidRPr="00F918E9">
        <w:rPr>
          <w:rFonts w:ascii="Cambria" w:hAnsi="Cambria"/>
        </w:rPr>
        <w:t>23</w:t>
      </w:r>
      <w:r>
        <w:rPr>
          <w:rFonts w:ascii="Cambria" w:hAnsi="Cambria"/>
        </w:rPr>
        <w:t>,</w:t>
      </w:r>
      <w:r w:rsidRPr="00F918E9">
        <w:rPr>
          <w:rFonts w:ascii="Cambria" w:hAnsi="Cambria"/>
        </w:rPr>
        <w:t>8</w:t>
      </w:r>
      <w:r>
        <w:rPr>
          <w:rFonts w:ascii="Cambria" w:hAnsi="Cambria"/>
        </w:rPr>
        <w:t xml:space="preserve"> miliardi di dollari in Cina. La posizione dominante del Regno Unito è sostenuta da un contesto normativo </w:t>
      </w:r>
      <w:r w:rsidR="00D657C7">
        <w:rPr>
          <w:rFonts w:ascii="Cambria" w:hAnsi="Cambria"/>
        </w:rPr>
        <w:t xml:space="preserve">favorevole </w:t>
      </w:r>
      <w:r>
        <w:rPr>
          <w:rFonts w:ascii="Cambria" w:hAnsi="Cambria"/>
        </w:rPr>
        <w:t>e da finanziamenti prevalentemente locali di nuove società.</w:t>
      </w:r>
    </w:p>
    <w:p w14:paraId="6FC56F03" w14:textId="0440B1FE" w:rsidR="00826458" w:rsidRDefault="00826458" w:rsidP="00A4518F">
      <w:pPr>
        <w:spacing w:line="240" w:lineRule="auto"/>
        <w:jc w:val="both"/>
        <w:rPr>
          <w:rFonts w:ascii="Cambria" w:hAnsi="Cambria"/>
        </w:rPr>
      </w:pPr>
    </w:p>
    <w:p w14:paraId="2B808464" w14:textId="77777777" w:rsidR="00826458" w:rsidRPr="00F3453F" w:rsidDel="008A7448" w:rsidRDefault="00826458" w:rsidP="00826458">
      <w:pPr>
        <w:pStyle w:val="ListParagraph"/>
        <w:numPr>
          <w:ilvl w:val="0"/>
          <w:numId w:val="30"/>
        </w:numPr>
        <w:spacing w:line="240" w:lineRule="auto"/>
        <w:jc w:val="both"/>
        <w:rPr>
          <w:rFonts w:cs="Calibri"/>
          <w:b/>
        </w:rPr>
      </w:pPr>
      <w:r>
        <w:rPr>
          <w:b/>
        </w:rPr>
        <w:t xml:space="preserve">Aumenta in Europa il ricorso al prestito bancario </w:t>
      </w:r>
    </w:p>
    <w:p w14:paraId="7C63CC1D" w14:textId="77777777" w:rsidR="00826458" w:rsidRPr="00F3453F" w:rsidDel="008A7448" w:rsidRDefault="00826458" w:rsidP="00826458">
      <w:pPr>
        <w:spacing w:line="240" w:lineRule="auto"/>
        <w:jc w:val="both"/>
        <w:rPr>
          <w:rFonts w:cs="Calibri"/>
        </w:rPr>
      </w:pPr>
      <w:r>
        <w:t>Le società europee continuano a fare troppo affidamento sui prestiti bancari, con l’</w:t>
      </w:r>
      <w:r w:rsidRPr="00F918E9">
        <w:t>88</w:t>
      </w:r>
      <w:r>
        <w:t xml:space="preserve">% dei nuovi finanziamenti nel </w:t>
      </w:r>
      <w:r w:rsidRPr="00F918E9">
        <w:t>2018</w:t>
      </w:r>
      <w:r>
        <w:t xml:space="preserve"> proveniente da banche e solo il </w:t>
      </w:r>
      <w:r w:rsidRPr="00F918E9">
        <w:t>12</w:t>
      </w:r>
      <w:r>
        <w:t xml:space="preserve">% dai mercati dei capitali (in calo rispetto al </w:t>
      </w:r>
      <w:r w:rsidRPr="00F918E9">
        <w:t>14</w:t>
      </w:r>
      <w:r>
        <w:t xml:space="preserve">%, in media, nel periodo </w:t>
      </w:r>
      <w:r w:rsidRPr="00F918E9">
        <w:t>2013</w:t>
      </w:r>
      <w:r>
        <w:t>-</w:t>
      </w:r>
      <w:r w:rsidRPr="00F918E9">
        <w:t>2017</w:t>
      </w:r>
      <w:r>
        <w:t xml:space="preserve">).    </w:t>
      </w:r>
    </w:p>
    <w:p w14:paraId="40F8FFF7" w14:textId="77777777" w:rsidR="00826458" w:rsidRDefault="00826458" w:rsidP="00A4518F">
      <w:pPr>
        <w:spacing w:line="240" w:lineRule="auto"/>
        <w:jc w:val="both"/>
        <w:rPr>
          <w:rFonts w:ascii="Cambria" w:hAnsi="Cambria"/>
        </w:rPr>
      </w:pPr>
    </w:p>
    <w:p w14:paraId="1EBF9514" w14:textId="36C6D0E5" w:rsidR="00520EC8" w:rsidRDefault="00520EC8" w:rsidP="00A4518F">
      <w:pPr>
        <w:spacing w:line="240" w:lineRule="auto"/>
        <w:jc w:val="both"/>
        <w:rPr>
          <w:rFonts w:ascii="Cambria" w:hAnsi="Cambria"/>
        </w:rPr>
      </w:pPr>
    </w:p>
    <w:p w14:paraId="74925B35" w14:textId="0C19A69B" w:rsidR="00520EC8" w:rsidRPr="00520EC8" w:rsidRDefault="00520EC8" w:rsidP="00520EC8">
      <w:pPr>
        <w:numPr>
          <w:ilvl w:val="0"/>
          <w:numId w:val="30"/>
        </w:numPr>
        <w:spacing w:line="240" w:lineRule="auto"/>
        <w:jc w:val="both"/>
        <w:rPr>
          <w:rFonts w:ascii="Cambria" w:hAnsi="Cambria"/>
          <w:b/>
        </w:rPr>
      </w:pPr>
      <w:r>
        <w:rPr>
          <w:rFonts w:ascii="Cambria" w:hAnsi="Cambria"/>
          <w:b/>
        </w:rPr>
        <w:t xml:space="preserve">Nel </w:t>
      </w:r>
      <w:r w:rsidRPr="00F918E9">
        <w:rPr>
          <w:rFonts w:ascii="Cambria" w:hAnsi="Cambria"/>
          <w:b/>
        </w:rPr>
        <w:t>2018</w:t>
      </w:r>
      <w:r>
        <w:rPr>
          <w:rFonts w:ascii="Cambria" w:hAnsi="Cambria"/>
          <w:b/>
        </w:rPr>
        <w:t xml:space="preserve"> diminuisce in Europa la disponibilità di </w:t>
      </w:r>
      <w:r w:rsidR="00D657C7">
        <w:rPr>
          <w:rFonts w:ascii="Cambria" w:hAnsi="Cambria"/>
          <w:b/>
        </w:rPr>
        <w:t xml:space="preserve">bacini </w:t>
      </w:r>
      <w:r>
        <w:rPr>
          <w:rFonts w:ascii="Cambria" w:hAnsi="Cambria"/>
          <w:b/>
        </w:rPr>
        <w:t>di capitali</w:t>
      </w:r>
    </w:p>
    <w:p w14:paraId="2DC1E69B" w14:textId="77777777" w:rsidR="00520EC8" w:rsidRPr="00520EC8" w:rsidRDefault="00520EC8" w:rsidP="00520EC8">
      <w:pPr>
        <w:spacing w:line="240" w:lineRule="auto"/>
        <w:jc w:val="both"/>
        <w:rPr>
          <w:rFonts w:ascii="Cambria" w:hAnsi="Cambria"/>
          <w:b/>
        </w:rPr>
      </w:pPr>
      <w:r>
        <w:rPr>
          <w:rFonts w:ascii="Cambria" w:hAnsi="Cambria"/>
        </w:rPr>
        <w:t xml:space="preserve">In seguito a un temporaneo deterioramento delle quotazioni degli asset, il valore dei risparmi delle famiglie investiti in strumenti dei mercati dei capitali nell’Ue (ad es. azioni ordinarie, quote di fondi d’investimento, obbligazioni, assicurazioni e pensioni) è diminuito dal </w:t>
      </w:r>
      <w:r w:rsidRPr="00F918E9">
        <w:rPr>
          <w:rFonts w:ascii="Cambria" w:hAnsi="Cambria"/>
        </w:rPr>
        <w:t>118</w:t>
      </w:r>
      <w:r>
        <w:rPr>
          <w:rFonts w:ascii="Cambria" w:hAnsi="Cambria"/>
        </w:rPr>
        <w:t xml:space="preserve">% del Pil, in media, del </w:t>
      </w:r>
      <w:r w:rsidRPr="00F918E9">
        <w:rPr>
          <w:rFonts w:ascii="Cambria" w:hAnsi="Cambria"/>
        </w:rPr>
        <w:t>2017</w:t>
      </w:r>
      <w:r>
        <w:rPr>
          <w:rFonts w:ascii="Cambria" w:hAnsi="Cambria"/>
        </w:rPr>
        <w:t xml:space="preserve"> al </w:t>
      </w:r>
      <w:r w:rsidRPr="00F918E9">
        <w:rPr>
          <w:rFonts w:ascii="Cambria" w:hAnsi="Cambria"/>
        </w:rPr>
        <w:t>113</w:t>
      </w:r>
      <w:r>
        <w:rPr>
          <w:rFonts w:ascii="Cambria" w:hAnsi="Cambria"/>
        </w:rPr>
        <w:t xml:space="preserve">% del Pil del </w:t>
      </w:r>
      <w:r w:rsidRPr="00F918E9">
        <w:rPr>
          <w:rFonts w:ascii="Cambria" w:hAnsi="Cambria"/>
        </w:rPr>
        <w:t>2018</w:t>
      </w:r>
      <w:r>
        <w:rPr>
          <w:rFonts w:ascii="Cambria" w:hAnsi="Cambria"/>
        </w:rPr>
        <w:t xml:space="preserve">. </w:t>
      </w:r>
    </w:p>
    <w:p w14:paraId="3DB152FB" w14:textId="77777777" w:rsidR="00A162A3" w:rsidRPr="00F3453F" w:rsidRDefault="00A162A3" w:rsidP="00A4518F">
      <w:pPr>
        <w:spacing w:line="240" w:lineRule="auto"/>
        <w:jc w:val="both"/>
        <w:rPr>
          <w:rFonts w:ascii="Cambria" w:hAnsi="Cambria"/>
        </w:rPr>
      </w:pPr>
    </w:p>
    <w:p w14:paraId="42C9C867" w14:textId="2BF2C562" w:rsidR="008A7448" w:rsidRPr="00F3453F" w:rsidRDefault="00F3453F" w:rsidP="00A4518F">
      <w:pPr>
        <w:pStyle w:val="ListParagraph"/>
        <w:numPr>
          <w:ilvl w:val="0"/>
          <w:numId w:val="30"/>
        </w:numPr>
        <w:spacing w:line="240" w:lineRule="auto"/>
        <w:jc w:val="both"/>
        <w:rPr>
          <w:rFonts w:cs="Calibri"/>
          <w:b/>
        </w:rPr>
      </w:pPr>
      <w:r>
        <w:rPr>
          <w:b/>
        </w:rPr>
        <w:t>L’Europa continua ad aumentare il capitale di rischio disponibile per finanziare la crescita delle PMI</w:t>
      </w:r>
    </w:p>
    <w:p w14:paraId="455DE446" w14:textId="456587EA" w:rsidR="008A7448" w:rsidRPr="00F3453F" w:rsidRDefault="00F3453F" w:rsidP="00A4518F">
      <w:pPr>
        <w:spacing w:line="240" w:lineRule="auto"/>
        <w:jc w:val="both"/>
        <w:rPr>
          <w:rFonts w:ascii="Cambria" w:hAnsi="Cambria"/>
        </w:rPr>
      </w:pPr>
      <w:r>
        <w:rPr>
          <w:rFonts w:ascii="Cambria" w:hAnsi="Cambria"/>
        </w:rPr>
        <w:t>Le PMI hanno registrato un incremento annuo dell’</w:t>
      </w:r>
      <w:r w:rsidRPr="00F918E9">
        <w:rPr>
          <w:rFonts w:ascii="Cambria" w:hAnsi="Cambria"/>
        </w:rPr>
        <w:t>8</w:t>
      </w:r>
      <w:r>
        <w:rPr>
          <w:rFonts w:ascii="Cambria" w:hAnsi="Cambria"/>
        </w:rPr>
        <w:t xml:space="preserve">% degli investimenti da parte di fondi di </w:t>
      </w:r>
      <w:r>
        <w:rPr>
          <w:rFonts w:ascii="Cambria" w:hAnsi="Cambria"/>
          <w:i/>
          <w:iCs/>
        </w:rPr>
        <w:t>private equity</w:t>
      </w:r>
      <w:r>
        <w:rPr>
          <w:rFonts w:ascii="Cambria" w:hAnsi="Cambria"/>
        </w:rPr>
        <w:t xml:space="preserve"> basati su strategie di crescita, del </w:t>
      </w:r>
      <w:r w:rsidRPr="00F918E9">
        <w:rPr>
          <w:rFonts w:ascii="Cambria" w:hAnsi="Cambria"/>
        </w:rPr>
        <w:t>12</w:t>
      </w:r>
      <w:r>
        <w:rPr>
          <w:rFonts w:ascii="Cambria" w:hAnsi="Cambria"/>
        </w:rPr>
        <w:t xml:space="preserve">% degli investimenti da parte di società di </w:t>
      </w:r>
      <w:r>
        <w:rPr>
          <w:rFonts w:ascii="Cambria" w:hAnsi="Cambria"/>
          <w:i/>
          <w:iCs/>
        </w:rPr>
        <w:t>venture capital</w:t>
      </w:r>
      <w:r>
        <w:rPr>
          <w:rFonts w:ascii="Cambria" w:hAnsi="Cambria"/>
        </w:rPr>
        <w:t xml:space="preserve">, del </w:t>
      </w:r>
      <w:r w:rsidRPr="00F918E9">
        <w:rPr>
          <w:rFonts w:ascii="Cambria" w:hAnsi="Cambria"/>
        </w:rPr>
        <w:t>24</w:t>
      </w:r>
      <w:r>
        <w:rPr>
          <w:rFonts w:ascii="Cambria" w:hAnsi="Cambria"/>
        </w:rPr>
        <w:t xml:space="preserve">% del </w:t>
      </w:r>
      <w:r>
        <w:rPr>
          <w:rFonts w:ascii="Cambria" w:hAnsi="Cambria"/>
          <w:i/>
          <w:iCs/>
        </w:rPr>
        <w:t>crowdfunding</w:t>
      </w:r>
      <w:r>
        <w:rPr>
          <w:rFonts w:ascii="Cambria" w:hAnsi="Cambria"/>
        </w:rPr>
        <w:t xml:space="preserve"> azionario, dell’</w:t>
      </w:r>
      <w:r w:rsidRPr="00F918E9">
        <w:rPr>
          <w:rFonts w:ascii="Cambria" w:hAnsi="Cambria"/>
        </w:rPr>
        <w:t>8</w:t>
      </w:r>
      <w:r>
        <w:rPr>
          <w:rFonts w:ascii="Cambria" w:hAnsi="Cambria"/>
        </w:rPr>
        <w:t xml:space="preserve">% del finanziamento da parte di </w:t>
      </w:r>
      <w:r>
        <w:rPr>
          <w:rFonts w:ascii="Cambria" w:hAnsi="Cambria"/>
          <w:i/>
          <w:iCs/>
        </w:rPr>
        <w:t>business angel</w:t>
      </w:r>
      <w:r>
        <w:rPr>
          <w:rFonts w:ascii="Cambria" w:hAnsi="Cambria"/>
        </w:rPr>
        <w:t xml:space="preserve"> e del </w:t>
      </w:r>
      <w:r w:rsidRPr="00F918E9">
        <w:rPr>
          <w:rFonts w:ascii="Cambria" w:hAnsi="Cambria"/>
        </w:rPr>
        <w:t>5</w:t>
      </w:r>
      <w:r>
        <w:rPr>
          <w:rFonts w:ascii="Cambria" w:hAnsi="Cambria"/>
        </w:rPr>
        <w:t xml:space="preserve">% di nuovi prestiti bancari loro destinati. Il capitale di rischio per l’accompagnamento alla quotazione in Borsa ha rappresentato il </w:t>
      </w:r>
      <w:r w:rsidRPr="00F918E9">
        <w:rPr>
          <w:rFonts w:ascii="Cambria" w:hAnsi="Cambria"/>
        </w:rPr>
        <w:t>2</w:t>
      </w:r>
      <w:r>
        <w:rPr>
          <w:rFonts w:ascii="Cambria" w:hAnsi="Cambria"/>
        </w:rPr>
        <w:t>,</w:t>
      </w:r>
      <w:r w:rsidRPr="00F918E9">
        <w:rPr>
          <w:rFonts w:ascii="Cambria" w:hAnsi="Cambria"/>
        </w:rPr>
        <w:t>64</w:t>
      </w:r>
      <w:r>
        <w:rPr>
          <w:rFonts w:ascii="Cambria" w:hAnsi="Cambria"/>
        </w:rPr>
        <w:t xml:space="preserve">% del flusso annuo totale di finanziamenti alle PMI (prestito bancario incluso) rispetto al </w:t>
      </w:r>
      <w:r w:rsidRPr="00F918E9">
        <w:rPr>
          <w:rFonts w:ascii="Cambria" w:hAnsi="Cambria"/>
        </w:rPr>
        <w:t>2</w:t>
      </w:r>
      <w:r>
        <w:rPr>
          <w:rFonts w:ascii="Cambria" w:hAnsi="Cambria"/>
        </w:rPr>
        <w:t>,</w:t>
      </w:r>
      <w:r w:rsidRPr="00F918E9">
        <w:rPr>
          <w:rFonts w:ascii="Cambria" w:hAnsi="Cambria"/>
        </w:rPr>
        <w:t>55</w:t>
      </w:r>
      <w:r>
        <w:rPr>
          <w:rFonts w:ascii="Cambria" w:hAnsi="Cambria"/>
        </w:rPr>
        <w:t xml:space="preserve">% nel </w:t>
      </w:r>
      <w:r w:rsidRPr="00F918E9">
        <w:rPr>
          <w:rFonts w:ascii="Cambria" w:hAnsi="Cambria"/>
        </w:rPr>
        <w:t>2017</w:t>
      </w:r>
      <w:r>
        <w:rPr>
          <w:rFonts w:ascii="Cambria" w:hAnsi="Cambria"/>
        </w:rPr>
        <w:t xml:space="preserve"> e all’</w:t>
      </w:r>
      <w:r w:rsidRPr="00F918E9">
        <w:rPr>
          <w:rFonts w:ascii="Cambria" w:hAnsi="Cambria"/>
        </w:rPr>
        <w:t>1</w:t>
      </w:r>
      <w:r>
        <w:rPr>
          <w:rFonts w:ascii="Cambria" w:hAnsi="Cambria"/>
        </w:rPr>
        <w:t>,</w:t>
      </w:r>
      <w:r w:rsidRPr="00F918E9">
        <w:rPr>
          <w:rFonts w:ascii="Cambria" w:hAnsi="Cambria"/>
        </w:rPr>
        <w:t>4</w:t>
      </w:r>
      <w:r>
        <w:rPr>
          <w:rFonts w:ascii="Cambria" w:hAnsi="Cambria"/>
        </w:rPr>
        <w:t xml:space="preserve">% nel </w:t>
      </w:r>
      <w:r w:rsidRPr="00F918E9">
        <w:rPr>
          <w:rFonts w:ascii="Cambria" w:hAnsi="Cambria"/>
        </w:rPr>
        <w:t>2013</w:t>
      </w:r>
      <w:r>
        <w:rPr>
          <w:rFonts w:ascii="Cambria" w:hAnsi="Cambria"/>
        </w:rPr>
        <w:t>.</w:t>
      </w:r>
    </w:p>
    <w:p w14:paraId="631C043B" w14:textId="77777777" w:rsidR="00F3453F" w:rsidRPr="00F3453F" w:rsidRDefault="00F3453F" w:rsidP="00A4518F">
      <w:pPr>
        <w:spacing w:line="240" w:lineRule="auto"/>
        <w:jc w:val="both"/>
        <w:rPr>
          <w:rFonts w:cs="Calibri"/>
          <w:lang w:eastAsia="en-US"/>
        </w:rPr>
      </w:pPr>
    </w:p>
    <w:p w14:paraId="4C5ECF25" w14:textId="4B70E4C9" w:rsidR="00F3453F" w:rsidRPr="00F3453F" w:rsidRDefault="00520EC8" w:rsidP="00A4518F">
      <w:pPr>
        <w:pStyle w:val="ListParagraph"/>
        <w:numPr>
          <w:ilvl w:val="0"/>
          <w:numId w:val="30"/>
        </w:numPr>
        <w:spacing w:line="240" w:lineRule="auto"/>
        <w:jc w:val="both"/>
        <w:rPr>
          <w:rFonts w:ascii="Cambria" w:hAnsi="Cambria"/>
        </w:rPr>
      </w:pPr>
      <w:r>
        <w:rPr>
          <w:rFonts w:ascii="Cambria" w:hAnsi="Cambria"/>
          <w:b/>
        </w:rPr>
        <w:t xml:space="preserve">L’ecosistema dei mercati dei capitali dell’Ue si è deteriorato nel </w:t>
      </w:r>
      <w:r w:rsidRPr="00F918E9">
        <w:rPr>
          <w:rFonts w:ascii="Cambria" w:hAnsi="Cambria"/>
          <w:b/>
        </w:rPr>
        <w:t>2018</w:t>
      </w:r>
      <w:r>
        <w:rPr>
          <w:rFonts w:ascii="Cambria" w:hAnsi="Cambria"/>
        </w:rPr>
        <w:t xml:space="preserve"> </w:t>
      </w:r>
    </w:p>
    <w:p w14:paraId="00B9A383" w14:textId="3695838A" w:rsidR="0043709E" w:rsidRPr="00F3453F" w:rsidRDefault="00520EC8" w:rsidP="00A4518F">
      <w:pPr>
        <w:spacing w:line="240" w:lineRule="auto"/>
        <w:jc w:val="both"/>
        <w:rPr>
          <w:rFonts w:ascii="Cambria" w:hAnsi="Cambria"/>
        </w:rPr>
      </w:pPr>
      <w:r>
        <w:rPr>
          <w:rFonts w:ascii="Cambria" w:hAnsi="Cambria"/>
        </w:rPr>
        <w:t xml:space="preserve">Ciò è stato causato prevalentemente dalla diminuzione delle emissioni di strumenti di mercato come le azioni ordinarie e le obbligazioni, e dal deterioramento del valore totale dei risparmi delle famiglie in seguito al calo delle quotazioni degli asset a fine </w:t>
      </w:r>
      <w:r w:rsidRPr="00F918E9">
        <w:rPr>
          <w:rFonts w:ascii="Cambria" w:hAnsi="Cambria"/>
        </w:rPr>
        <w:t>2018</w:t>
      </w:r>
      <w:r>
        <w:rPr>
          <w:rFonts w:ascii="Cambria" w:hAnsi="Cambria"/>
        </w:rPr>
        <w:t>, come evidenziato sopra</w:t>
      </w:r>
      <w:r>
        <w:rPr>
          <w:rFonts w:ascii="Cambria" w:hAnsi="Cambria"/>
          <w:b/>
        </w:rPr>
        <w:t>.</w:t>
      </w:r>
      <w:r>
        <w:rPr>
          <w:rFonts w:ascii="Cambria" w:hAnsi="Cambria"/>
        </w:rPr>
        <w:t xml:space="preserve"> In Europa centrale e orientale si è assistito tuttavia a un incremento incoraggiante delle emissioni primarie di azioni ordinarie e obbligazioni.</w:t>
      </w:r>
    </w:p>
    <w:p w14:paraId="545D1A88" w14:textId="77777777" w:rsidR="00F3453F" w:rsidRPr="00F3453F" w:rsidRDefault="00F3453F" w:rsidP="00A4518F">
      <w:pPr>
        <w:spacing w:line="240" w:lineRule="auto"/>
        <w:jc w:val="both"/>
        <w:rPr>
          <w:rFonts w:cs="Calibri"/>
          <w:lang w:eastAsia="en-US"/>
        </w:rPr>
      </w:pPr>
    </w:p>
    <w:p w14:paraId="1AE6E4FB" w14:textId="4F194899" w:rsidR="0043709E" w:rsidRPr="00F3453F" w:rsidRDefault="00023EB9" w:rsidP="00A4518F">
      <w:pPr>
        <w:pStyle w:val="ListParagraph"/>
        <w:numPr>
          <w:ilvl w:val="0"/>
          <w:numId w:val="30"/>
        </w:numPr>
        <w:spacing w:line="240" w:lineRule="auto"/>
        <w:jc w:val="both"/>
        <w:rPr>
          <w:rFonts w:cs="Calibri"/>
        </w:rPr>
      </w:pPr>
      <w:r>
        <w:rPr>
          <w:b/>
        </w:rPr>
        <w:t xml:space="preserve">Un maggior numero di crediti in sofferenza convertito in strumenti </w:t>
      </w:r>
      <w:r w:rsidR="00D657C7">
        <w:rPr>
          <w:b/>
        </w:rPr>
        <w:t>finanziari</w:t>
      </w:r>
      <w:r>
        <w:rPr>
          <w:b/>
        </w:rPr>
        <w:t xml:space="preserve"> </w:t>
      </w:r>
    </w:p>
    <w:p w14:paraId="7045DA93" w14:textId="1802E994" w:rsidR="0043709E" w:rsidRDefault="00023EB9" w:rsidP="00A4518F">
      <w:pPr>
        <w:spacing w:line="240" w:lineRule="auto"/>
        <w:jc w:val="both"/>
        <w:rPr>
          <w:rFonts w:cs="Calibri"/>
        </w:rPr>
      </w:pPr>
      <w:r>
        <w:t xml:space="preserve">Le cessioni di portafogli </w:t>
      </w:r>
      <w:r w:rsidR="00D657C7">
        <w:t xml:space="preserve">di </w:t>
      </w:r>
      <w:r>
        <w:t xml:space="preserve">crediti da parte delle banche </w:t>
      </w:r>
      <w:r w:rsidR="00D657C7">
        <w:t xml:space="preserve">europee </w:t>
      </w:r>
      <w:r>
        <w:t xml:space="preserve">sono aumentate del </w:t>
      </w:r>
      <w:r w:rsidRPr="00F918E9">
        <w:t>32</w:t>
      </w:r>
      <w:r>
        <w:t xml:space="preserve">% nel </w:t>
      </w:r>
      <w:r w:rsidRPr="00F918E9">
        <w:t>2018</w:t>
      </w:r>
      <w:r>
        <w:t xml:space="preserve"> a </w:t>
      </w:r>
      <w:r w:rsidRPr="00F918E9">
        <w:t>182</w:t>
      </w:r>
      <w:r>
        <w:t xml:space="preserve"> miliardi di euro (l’importo annuo più elevato mai scambiato). Questo scenario è stato sostenuto da un nuovo anno di crescita importante nel segmento dei crediti in sofferenza, con le banche dei paesi Ue che hanno accelerato la cessione di debiti insoluti (o NPL) grazie a nuovi sviluppi normativi.</w:t>
      </w:r>
    </w:p>
    <w:p w14:paraId="70CF7283" w14:textId="1813AD0C" w:rsidR="001B2A09" w:rsidRDefault="001B2A09" w:rsidP="00A4518F">
      <w:pPr>
        <w:spacing w:line="240" w:lineRule="auto"/>
        <w:jc w:val="both"/>
        <w:rPr>
          <w:rFonts w:cs="Calibri"/>
          <w:lang w:eastAsia="en-US"/>
        </w:rPr>
      </w:pPr>
    </w:p>
    <w:p w14:paraId="60193298" w14:textId="486D2A1E" w:rsidR="001B2A09" w:rsidRPr="00461ED3" w:rsidRDefault="00461ED3" w:rsidP="0040580A">
      <w:pPr>
        <w:spacing w:line="240" w:lineRule="auto"/>
        <w:jc w:val="both"/>
        <w:outlineLvl w:val="0"/>
        <w:rPr>
          <w:rFonts w:cs="Calibri"/>
          <w:b/>
          <w:sz w:val="24"/>
          <w:szCs w:val="24"/>
          <w:u w:val="single"/>
        </w:rPr>
      </w:pPr>
      <w:r>
        <w:rPr>
          <w:b/>
          <w:sz w:val="24"/>
          <w:szCs w:val="24"/>
          <w:u w:val="single"/>
        </w:rPr>
        <w:t xml:space="preserve">Andamento nei </w:t>
      </w:r>
      <w:r w:rsidRPr="00F918E9">
        <w:rPr>
          <w:b/>
          <w:sz w:val="24"/>
          <w:szCs w:val="24"/>
          <w:u w:val="single"/>
        </w:rPr>
        <w:t>28</w:t>
      </w:r>
      <w:r>
        <w:rPr>
          <w:b/>
          <w:sz w:val="24"/>
          <w:szCs w:val="24"/>
          <w:u w:val="single"/>
        </w:rPr>
        <w:t xml:space="preserve"> paesi dell’Ue </w:t>
      </w:r>
    </w:p>
    <w:p w14:paraId="74276485" w14:textId="0AA3F13B" w:rsidR="00C74427" w:rsidRPr="00380CAA" w:rsidRDefault="00C74427" w:rsidP="00A4518F">
      <w:pPr>
        <w:jc w:val="both"/>
        <w:rPr>
          <w:rFonts w:cs="Calibri"/>
        </w:rPr>
      </w:pPr>
      <w:r>
        <w:t xml:space="preserve">È stato effettuato un confronto tra gli Stati membri dei </w:t>
      </w:r>
      <w:r w:rsidRPr="00F918E9">
        <w:t>28</w:t>
      </w:r>
      <w:r>
        <w:t xml:space="preserve"> paesi dell’Ue e i loro risultati individuali rispetto a ciascun indicatore (i risultati sono riportati a pagina </w:t>
      </w:r>
      <w:r w:rsidRPr="00F918E9">
        <w:t>10</w:t>
      </w:r>
      <w:r>
        <w:t xml:space="preserve"> della relazione). Tra i principali risultati si segnala che: </w:t>
      </w:r>
    </w:p>
    <w:p w14:paraId="264837A8" w14:textId="77777777" w:rsidR="00C74427" w:rsidRDefault="00C74427" w:rsidP="00A4518F">
      <w:pPr>
        <w:spacing w:line="240" w:lineRule="auto"/>
        <w:jc w:val="both"/>
        <w:rPr>
          <w:rFonts w:cs="Calibri"/>
          <w:lang w:eastAsia="en-US"/>
        </w:rPr>
      </w:pPr>
    </w:p>
    <w:p w14:paraId="3B8BECE4" w14:textId="7F050132" w:rsidR="00C74427" w:rsidRPr="00B22FEB" w:rsidRDefault="00C74427" w:rsidP="00A4518F">
      <w:pPr>
        <w:pStyle w:val="ListParagraph"/>
        <w:numPr>
          <w:ilvl w:val="0"/>
          <w:numId w:val="30"/>
        </w:numPr>
        <w:spacing w:line="240" w:lineRule="auto"/>
        <w:jc w:val="both"/>
        <w:rPr>
          <w:rFonts w:cs="Calibri"/>
        </w:rPr>
      </w:pPr>
      <w:r>
        <w:rPr>
          <w:b/>
        </w:rPr>
        <w:t>Il Regno Unito</w:t>
      </w:r>
      <w:r>
        <w:t xml:space="preserve"> guida la classifica dei paesi Ue in termini di nuove operazioni di finanziamento obbligazionarie e azionarie per le società non finanziarie (SNF) con oltre il </w:t>
      </w:r>
      <w:r w:rsidRPr="00F918E9">
        <w:t>26</w:t>
      </w:r>
      <w:r>
        <w:t xml:space="preserve">% di nuovi finanziamenti raccolti tramite mercati. Seguono a poca distanza i </w:t>
      </w:r>
      <w:r>
        <w:rPr>
          <w:b/>
        </w:rPr>
        <w:t>Paesi Bassi e la Francia</w:t>
      </w:r>
      <w:r>
        <w:t xml:space="preserve"> con strumenti di mercato </w:t>
      </w:r>
      <w:r>
        <w:lastRenderedPageBreak/>
        <w:t xml:space="preserve">che forniscono il </w:t>
      </w:r>
      <w:r w:rsidRPr="00F918E9">
        <w:t>18</w:t>
      </w:r>
      <w:r>
        <w:t xml:space="preserve">% dei nuovi finanziamenti totali in entrambe le giurisdizioni. Insieme, </w:t>
      </w:r>
      <w:r>
        <w:rPr>
          <w:b/>
        </w:rPr>
        <w:t>Regno Unito, Francia e Paesi Bassi</w:t>
      </w:r>
      <w:r>
        <w:t xml:space="preserve">, incidono per il </w:t>
      </w:r>
      <w:r w:rsidRPr="00F918E9">
        <w:t>49</w:t>
      </w:r>
      <w:r>
        <w:t xml:space="preserve">% dei nuovi finanziamenti totali destinati alle SNF raccolti tramite i mercati nel </w:t>
      </w:r>
      <w:r w:rsidRPr="00F918E9">
        <w:t>2018</w:t>
      </w:r>
      <w:r>
        <w:t xml:space="preserve">. Solo tre paesi, </w:t>
      </w:r>
      <w:r>
        <w:rPr>
          <w:b/>
        </w:rPr>
        <w:t>Croazia, Cipro e Slovenia,</w:t>
      </w:r>
      <w:r>
        <w:t xml:space="preserve"> non hanno fatto </w:t>
      </w:r>
      <w:r w:rsidR="00D657C7">
        <w:t xml:space="preserve">alcun </w:t>
      </w:r>
      <w:r>
        <w:t xml:space="preserve">ricorso al mercato per finanziare le SNF nel </w:t>
      </w:r>
      <w:r w:rsidRPr="00F918E9">
        <w:t>2018</w:t>
      </w:r>
      <w:r>
        <w:t>.</w:t>
      </w:r>
    </w:p>
    <w:p w14:paraId="56E6BD09" w14:textId="77777777" w:rsidR="00B22FEB" w:rsidRPr="0093479D" w:rsidRDefault="00B22FEB" w:rsidP="00A4518F">
      <w:pPr>
        <w:pStyle w:val="ListParagraph"/>
        <w:spacing w:line="240" w:lineRule="auto"/>
        <w:ind w:left="502"/>
        <w:jc w:val="both"/>
        <w:rPr>
          <w:rFonts w:cs="Calibri"/>
          <w:lang w:eastAsia="en-US"/>
        </w:rPr>
      </w:pPr>
    </w:p>
    <w:p w14:paraId="020BBDE6" w14:textId="58E99130" w:rsidR="00C74427" w:rsidRPr="00613407" w:rsidRDefault="00C74427" w:rsidP="00A4518F">
      <w:pPr>
        <w:pStyle w:val="ListParagraph"/>
        <w:numPr>
          <w:ilvl w:val="0"/>
          <w:numId w:val="30"/>
        </w:numPr>
        <w:spacing w:line="240" w:lineRule="auto"/>
        <w:jc w:val="both"/>
        <w:rPr>
          <w:rFonts w:cs="Calibri"/>
        </w:rPr>
      </w:pPr>
      <w:r>
        <w:rPr>
          <w:b/>
          <w:bCs/>
        </w:rPr>
        <w:t>Paesi Bassi, Regno Unito e Danimarca</w:t>
      </w:r>
      <w:r>
        <w:t xml:space="preserve"> sono i primi tra i paesi Ue in termini quantitativi per risparmi delle famiglie investiti in strumenti di mercato, data la maggiore copertura previdenziale privata. Nel </w:t>
      </w:r>
      <w:r w:rsidRPr="00F918E9">
        <w:t>2018</w:t>
      </w:r>
      <w:r>
        <w:t xml:space="preserve"> tutti i paesi ad eccezione di </w:t>
      </w:r>
      <w:r>
        <w:rPr>
          <w:b/>
          <w:bCs/>
        </w:rPr>
        <w:t xml:space="preserve">Cipro e della Grecia </w:t>
      </w:r>
      <w:r>
        <w:t>hanno aumentato l’importo dei risparmi in denaro e sotto forma di depositi.</w:t>
      </w:r>
    </w:p>
    <w:p w14:paraId="1780D695" w14:textId="77777777" w:rsidR="00C74427" w:rsidRPr="001B2A09" w:rsidRDefault="00C74427" w:rsidP="00A4518F">
      <w:pPr>
        <w:spacing w:line="240" w:lineRule="auto"/>
        <w:jc w:val="both"/>
        <w:rPr>
          <w:rFonts w:cs="Calibri"/>
          <w:lang w:eastAsia="en-US"/>
        </w:rPr>
      </w:pPr>
    </w:p>
    <w:p w14:paraId="44B4C42F" w14:textId="07E516FB" w:rsidR="00C74427" w:rsidRDefault="00C74427" w:rsidP="00A4518F">
      <w:pPr>
        <w:pStyle w:val="ListParagraph"/>
        <w:numPr>
          <w:ilvl w:val="0"/>
          <w:numId w:val="30"/>
        </w:numPr>
        <w:spacing w:line="240" w:lineRule="auto"/>
        <w:jc w:val="both"/>
        <w:rPr>
          <w:rFonts w:cs="Calibri"/>
        </w:rPr>
      </w:pPr>
      <w:r>
        <w:rPr>
          <w:b/>
        </w:rPr>
        <w:t xml:space="preserve">Irlanda, Italia, Portogallo, Cipro e Spagna </w:t>
      </w:r>
      <w:r>
        <w:t xml:space="preserve">(paesi con elevati crediti in sofferenza) sono tra i primi dieci paesi dell’Ue nell’indice di trasferimento di crediti nel </w:t>
      </w:r>
      <w:r w:rsidRPr="00F918E9">
        <w:t>2018</w:t>
      </w:r>
      <w:r>
        <w:t xml:space="preserve">, dato che le banche continuano a utilizzare i mercati per cedere attivi deteriorati. </w:t>
      </w:r>
    </w:p>
    <w:p w14:paraId="65D71670" w14:textId="77777777" w:rsidR="00C74427" w:rsidRPr="00613407" w:rsidRDefault="00C74427" w:rsidP="00A4518F">
      <w:pPr>
        <w:pStyle w:val="ListParagraph"/>
        <w:spacing w:line="240" w:lineRule="auto"/>
        <w:jc w:val="both"/>
        <w:rPr>
          <w:rFonts w:cs="Calibri"/>
          <w:lang w:eastAsia="en-US"/>
        </w:rPr>
      </w:pPr>
    </w:p>
    <w:p w14:paraId="0784BEF4" w14:textId="63CFF904" w:rsidR="00C74427" w:rsidRPr="00613407" w:rsidRDefault="00C74427" w:rsidP="00A4518F">
      <w:pPr>
        <w:pStyle w:val="ListParagraph"/>
        <w:numPr>
          <w:ilvl w:val="0"/>
          <w:numId w:val="30"/>
        </w:numPr>
        <w:spacing w:line="240" w:lineRule="auto"/>
        <w:jc w:val="both"/>
        <w:rPr>
          <w:rFonts w:cs="Calibri"/>
          <w:b/>
          <w:bCs/>
        </w:rPr>
      </w:pPr>
      <w:r>
        <w:rPr>
          <w:b/>
          <w:bCs/>
        </w:rPr>
        <w:t xml:space="preserve">Il Regno Unito </w:t>
      </w:r>
      <w:r>
        <w:t xml:space="preserve">guida con un ampio margine la classifica dei paesi Ue in termini di capacità di favorire l’innovazione delle FinTech grazie a un contesto normativo adeguato e importanti pool di finanziamento. </w:t>
      </w:r>
      <w:r>
        <w:rPr>
          <w:b/>
          <w:bCs/>
        </w:rPr>
        <w:t>Svezia, Lussemburgo e Lituania</w:t>
      </w:r>
      <w:r>
        <w:t xml:space="preserve"> seguono il Regno Unito tra i paesi dell’Ue che dispongono dell’ecosistema più adatto alle FinTech.</w:t>
      </w:r>
    </w:p>
    <w:p w14:paraId="0A9E3836" w14:textId="77777777" w:rsidR="00C74427" w:rsidRPr="004369D3" w:rsidRDefault="00C74427" w:rsidP="00A4518F">
      <w:pPr>
        <w:spacing w:line="240" w:lineRule="auto"/>
        <w:jc w:val="both"/>
        <w:rPr>
          <w:rFonts w:cs="Calibri"/>
          <w:lang w:eastAsia="en-US"/>
        </w:rPr>
      </w:pPr>
    </w:p>
    <w:p w14:paraId="72DF317A" w14:textId="0324D8BE" w:rsidR="00C74427" w:rsidRPr="00A4518F" w:rsidRDefault="00C74427" w:rsidP="00A4518F">
      <w:pPr>
        <w:pStyle w:val="ListParagraph"/>
        <w:numPr>
          <w:ilvl w:val="0"/>
          <w:numId w:val="30"/>
        </w:numPr>
        <w:spacing w:line="240" w:lineRule="auto"/>
        <w:jc w:val="both"/>
        <w:rPr>
          <w:rFonts w:cs="Calibri"/>
        </w:rPr>
      </w:pPr>
      <w:r>
        <w:rPr>
          <w:b/>
        </w:rPr>
        <w:t>Belgio, Paesi Bassi e Svezia</w:t>
      </w:r>
      <w:r>
        <w:t xml:space="preserve"> sono tra le prime nazioni dell’Ue in termini di finanza sostenibile con oltre il </w:t>
      </w:r>
      <w:r w:rsidRPr="00F918E9">
        <w:t>7</w:t>
      </w:r>
      <w:r>
        <w:t xml:space="preserve">% di obbligazioni emesse nel </w:t>
      </w:r>
      <w:r w:rsidRPr="00F918E9">
        <w:t>2018</w:t>
      </w:r>
      <w:r>
        <w:t xml:space="preserve"> classificate come sostenibili. Il </w:t>
      </w:r>
      <w:r w:rsidRPr="00F918E9">
        <w:t>21</w:t>
      </w:r>
      <w:r>
        <w:t xml:space="preserve">% delle obbligazioni della </w:t>
      </w:r>
      <w:r>
        <w:rPr>
          <w:b/>
          <w:bCs/>
        </w:rPr>
        <w:t>Lituania</w:t>
      </w:r>
      <w:r>
        <w:t xml:space="preserve"> emesse nel </w:t>
      </w:r>
      <w:r w:rsidRPr="00F918E9">
        <w:t>2018</w:t>
      </w:r>
      <w:r>
        <w:t xml:space="preserve"> erano classificate come sostenibili, poco più del doppio della percentuale del </w:t>
      </w:r>
      <w:r w:rsidRPr="00F918E9">
        <w:t>2017</w:t>
      </w:r>
      <w:r>
        <w:t xml:space="preserve">, sebbene ciò dipenda da tre obbligazioni emesse nel corso del </w:t>
      </w:r>
      <w:r w:rsidRPr="00F918E9">
        <w:t>2018</w:t>
      </w:r>
      <w:r>
        <w:t xml:space="preserve"> (e una nel </w:t>
      </w:r>
      <w:r w:rsidRPr="00F918E9">
        <w:t>2017</w:t>
      </w:r>
      <w:r>
        <w:t>).</w:t>
      </w:r>
    </w:p>
    <w:p w14:paraId="777A088F" w14:textId="77777777" w:rsidR="00C74427" w:rsidRPr="0093479D" w:rsidRDefault="00C74427" w:rsidP="00A4518F">
      <w:pPr>
        <w:spacing w:line="240" w:lineRule="auto"/>
        <w:jc w:val="both"/>
        <w:rPr>
          <w:rFonts w:cs="Calibri"/>
          <w:lang w:eastAsia="en-US"/>
        </w:rPr>
      </w:pPr>
    </w:p>
    <w:p w14:paraId="1FA73DE1" w14:textId="310C7B0D" w:rsidR="00C74427" w:rsidRPr="00613407" w:rsidRDefault="00C74427" w:rsidP="00A4518F">
      <w:pPr>
        <w:pStyle w:val="ListParagraph"/>
        <w:numPr>
          <w:ilvl w:val="0"/>
          <w:numId w:val="30"/>
        </w:numPr>
        <w:spacing w:line="240" w:lineRule="auto"/>
        <w:jc w:val="both"/>
        <w:rPr>
          <w:rFonts w:cs="Calibri"/>
        </w:rPr>
      </w:pPr>
      <w:r>
        <w:rPr>
          <w:b/>
          <w:bCs/>
        </w:rPr>
        <w:t>L’Irlanda</w:t>
      </w:r>
      <w:r>
        <w:t xml:space="preserve"> è al primo posto per disponibilità di capitale di rischio per le PMI, in percentuale dei finanziamenti totali, con significativi investimenti da parte di società di </w:t>
      </w:r>
      <w:r>
        <w:rPr>
          <w:i/>
          <w:iCs/>
        </w:rPr>
        <w:t>venture capital</w:t>
      </w:r>
      <w:r>
        <w:t xml:space="preserve"> e di fondi di </w:t>
      </w:r>
      <w:r>
        <w:rPr>
          <w:i/>
          <w:iCs/>
        </w:rPr>
        <w:t>private equity</w:t>
      </w:r>
      <w:r>
        <w:t xml:space="preserve"> basati su strategie di crescita. </w:t>
      </w:r>
      <w:r>
        <w:rPr>
          <w:b/>
          <w:bCs/>
        </w:rPr>
        <w:t xml:space="preserve">L’Estonia </w:t>
      </w:r>
      <w:r>
        <w:t xml:space="preserve">si classifica seconda tra i paesi dell’Ue per gli importanti investimenti da parte di </w:t>
      </w:r>
      <w:r>
        <w:rPr>
          <w:i/>
          <w:iCs/>
        </w:rPr>
        <w:t>business angel</w:t>
      </w:r>
      <w:r>
        <w:t xml:space="preserve"> in percentuale del capitale di rischio e dei prestiti bancari.</w:t>
      </w:r>
    </w:p>
    <w:p w14:paraId="6DFD91D0" w14:textId="77777777" w:rsidR="00C74427" w:rsidRPr="0093479D" w:rsidRDefault="00C74427" w:rsidP="00A4518F">
      <w:pPr>
        <w:spacing w:line="240" w:lineRule="auto"/>
        <w:jc w:val="both"/>
        <w:rPr>
          <w:rFonts w:cs="Calibri"/>
          <w:highlight w:val="yellow"/>
          <w:lang w:eastAsia="en-US"/>
        </w:rPr>
      </w:pPr>
    </w:p>
    <w:p w14:paraId="33CFD7CB" w14:textId="77777777" w:rsidR="00C74427" w:rsidRPr="0019788F" w:rsidRDefault="00C74427" w:rsidP="00A4518F">
      <w:pPr>
        <w:pStyle w:val="ListParagraph"/>
        <w:numPr>
          <w:ilvl w:val="0"/>
          <w:numId w:val="30"/>
        </w:numPr>
        <w:spacing w:line="240" w:lineRule="auto"/>
        <w:jc w:val="both"/>
        <w:rPr>
          <w:rFonts w:cs="Calibri"/>
        </w:rPr>
      </w:pPr>
      <w:r>
        <w:rPr>
          <w:b/>
          <w:bCs/>
        </w:rPr>
        <w:t>Lussemburgo, Regno Unito ed Estonia</w:t>
      </w:r>
      <w:r>
        <w:t xml:space="preserve"> sono tra i mercati dei capitali più interconnessi con il resto dell’Ue. La leadership del Lussemburgo è dovuta a fondi ed emissioni obbligazionarie detenuti all’interno dell’Ue.</w:t>
      </w:r>
    </w:p>
    <w:p w14:paraId="47964AB5" w14:textId="77777777" w:rsidR="00C74427" w:rsidRPr="0093479D" w:rsidRDefault="00C74427" w:rsidP="00A4518F">
      <w:pPr>
        <w:spacing w:line="240" w:lineRule="auto"/>
        <w:jc w:val="both"/>
        <w:rPr>
          <w:rFonts w:cs="Calibri"/>
          <w:lang w:eastAsia="en-US"/>
        </w:rPr>
      </w:pPr>
    </w:p>
    <w:p w14:paraId="6BBCD1ED" w14:textId="77777777" w:rsidR="00C74427" w:rsidRPr="0019788F" w:rsidRDefault="00C74427" w:rsidP="00A4518F">
      <w:pPr>
        <w:pStyle w:val="ListParagraph"/>
        <w:numPr>
          <w:ilvl w:val="0"/>
          <w:numId w:val="30"/>
        </w:numPr>
        <w:spacing w:line="240" w:lineRule="auto"/>
        <w:jc w:val="both"/>
        <w:rPr>
          <w:rFonts w:cs="Calibri"/>
        </w:rPr>
      </w:pPr>
      <w:r>
        <w:rPr>
          <w:b/>
          <w:bCs/>
        </w:rPr>
        <w:t xml:space="preserve">Regno Unito, Lussemburgo e Cipro </w:t>
      </w:r>
      <w:r>
        <w:t xml:space="preserve">sono i mercati dei capitali europei più interconnessi a livello mondiale. </w:t>
      </w:r>
      <w:r>
        <w:rPr>
          <w:b/>
          <w:bCs/>
        </w:rPr>
        <w:t>Il Regno Unito</w:t>
      </w:r>
      <w:r>
        <w:t xml:space="preserve"> svolge un ruolo di primo piano nei flussi globali di intermediazione delle operazioni di cambi e derivati su tassi d’interesse. A </w:t>
      </w:r>
      <w:r>
        <w:rPr>
          <w:b/>
          <w:bCs/>
        </w:rPr>
        <w:t>Cipro</w:t>
      </w:r>
      <w:r>
        <w:t>, la connettività globale è sostenuta dall’elevato ammontare di azioni ordinarie e quote di fondi d’investimento detenute al di fuori dell’Ue.</w:t>
      </w:r>
    </w:p>
    <w:p w14:paraId="45CE5893" w14:textId="77777777" w:rsidR="00C74427" w:rsidRPr="0019788F" w:rsidRDefault="00C74427" w:rsidP="00A4518F">
      <w:pPr>
        <w:pStyle w:val="ListParagraph"/>
        <w:spacing w:line="240" w:lineRule="auto"/>
        <w:jc w:val="both"/>
        <w:rPr>
          <w:rFonts w:cs="Calibri"/>
          <w:highlight w:val="yellow"/>
          <w:lang w:eastAsia="en-US"/>
        </w:rPr>
      </w:pPr>
    </w:p>
    <w:p w14:paraId="1828D366" w14:textId="77777777" w:rsidR="00C74427" w:rsidRPr="007B1DB3" w:rsidRDefault="00C74427" w:rsidP="00A4518F">
      <w:pPr>
        <w:pStyle w:val="ListParagraph"/>
        <w:numPr>
          <w:ilvl w:val="0"/>
          <w:numId w:val="30"/>
        </w:numPr>
        <w:spacing w:line="240" w:lineRule="auto"/>
        <w:jc w:val="both"/>
        <w:rPr>
          <w:rFonts w:cs="Calibri"/>
        </w:rPr>
      </w:pPr>
      <w:r>
        <w:rPr>
          <w:b/>
          <w:bCs/>
        </w:rPr>
        <w:t>L’Estonia e la Repubblica Ceca</w:t>
      </w:r>
      <w:r>
        <w:t xml:space="preserve"> </w:t>
      </w:r>
      <w:r>
        <w:rPr>
          <w:b/>
          <w:bCs/>
        </w:rPr>
        <w:t>sono i mercati di maggior spessore dell’Europa centrale e orientale</w:t>
      </w:r>
      <w:r>
        <w:t xml:space="preserve">. Nel </w:t>
      </w:r>
      <w:r w:rsidRPr="00F918E9">
        <w:t>2018</w:t>
      </w:r>
      <w:r>
        <w:t xml:space="preserve">, </w:t>
      </w:r>
      <w:r>
        <w:rPr>
          <w:b/>
          <w:bCs/>
        </w:rPr>
        <w:t>l’Estonia</w:t>
      </w:r>
      <w:r>
        <w:t xml:space="preserve"> ha emesso il </w:t>
      </w:r>
      <w:r w:rsidRPr="00F918E9">
        <w:t>10</w:t>
      </w:r>
      <w:r>
        <w:t xml:space="preserve">% di obbligazioni </w:t>
      </w:r>
      <w:r>
        <w:rPr>
          <w:i/>
          <w:iCs/>
        </w:rPr>
        <w:t>high yield</w:t>
      </w:r>
      <w:r>
        <w:t xml:space="preserve"> e il </w:t>
      </w:r>
      <w:r w:rsidRPr="00F918E9">
        <w:t>6</w:t>
      </w:r>
      <w:r>
        <w:t xml:space="preserve">% di obbligazioni </w:t>
      </w:r>
      <w:r>
        <w:rPr>
          <w:i/>
          <w:iCs/>
        </w:rPr>
        <w:t>investment grade</w:t>
      </w:r>
      <w:r>
        <w:t xml:space="preserve"> dell’Europa centrale ed orientale, pari al </w:t>
      </w:r>
      <w:r w:rsidRPr="00F918E9">
        <w:t>2</w:t>
      </w:r>
      <w:r>
        <w:t>% del Pil della regione.</w:t>
      </w:r>
    </w:p>
    <w:p w14:paraId="15EB3FAD" w14:textId="4462E793" w:rsidR="001B2A09" w:rsidRDefault="001B2A09" w:rsidP="00A4518F">
      <w:pPr>
        <w:spacing w:line="240" w:lineRule="auto"/>
        <w:jc w:val="both"/>
        <w:rPr>
          <w:rFonts w:cs="Calibri"/>
          <w:lang w:eastAsia="en-US"/>
        </w:rPr>
      </w:pPr>
    </w:p>
    <w:p w14:paraId="19C29562" w14:textId="77777777" w:rsidR="00BE2283" w:rsidRPr="00EC7BB9" w:rsidRDefault="00BE2283" w:rsidP="00BE2283">
      <w:pPr>
        <w:pStyle w:val="BodyText"/>
      </w:pPr>
      <w:r>
        <w:t>La relazione</w:t>
      </w:r>
      <w:r>
        <w:rPr>
          <w:b/>
          <w:bCs/>
        </w:rPr>
        <w:t xml:space="preserve"> </w:t>
      </w:r>
      <w:r>
        <w:t xml:space="preserve">è stata redatta da AFME in collaborazione con la </w:t>
      </w:r>
      <w:r>
        <w:rPr>
          <w:i/>
          <w:iCs/>
        </w:rPr>
        <w:t>Climate Bonds Initiative</w:t>
      </w:r>
      <w:r>
        <w:t xml:space="preserve"> (Iniziativa per i Green Bond o CBI), nonché con le associazioni commerciali europee che rappresentano </w:t>
      </w:r>
      <w:r>
        <w:rPr>
          <w:i/>
          <w:iCs/>
        </w:rPr>
        <w:t>business angel</w:t>
      </w:r>
      <w:r>
        <w:t xml:space="preserve"> (BAE, EBAN), gestori patrimoniali e di fondi (ACC, EFAMA), </w:t>
      </w:r>
      <w:r>
        <w:rPr>
          <w:i/>
          <w:iCs/>
        </w:rPr>
        <w:t>crowdfunding</w:t>
      </w:r>
      <w:r>
        <w:t xml:space="preserve"> (ECN), investitori istituzionali e retail (European Investors), borse valori (FESE), </w:t>
      </w:r>
      <w:r>
        <w:rPr>
          <w:i/>
          <w:iCs/>
        </w:rPr>
        <w:t>venture capital</w:t>
      </w:r>
      <w:r>
        <w:t xml:space="preserve"> e </w:t>
      </w:r>
      <w:r>
        <w:rPr>
          <w:i/>
          <w:iCs/>
        </w:rPr>
        <w:t>private equity</w:t>
      </w:r>
      <w:r>
        <w:t xml:space="preserve"> (Invest Europe), e fondi pensione (Pensions Europe).</w:t>
      </w:r>
    </w:p>
    <w:p w14:paraId="2602C627" w14:textId="7C9D5A73" w:rsidR="009F4DC0" w:rsidRDefault="009F4DC0" w:rsidP="00A4518F">
      <w:pPr>
        <w:spacing w:line="240" w:lineRule="auto"/>
        <w:jc w:val="both"/>
        <w:rPr>
          <w:rFonts w:cs="Calibri"/>
        </w:rPr>
      </w:pPr>
      <w:r>
        <w:lastRenderedPageBreak/>
        <w:t xml:space="preserve">È possibile scaricare la relazione completa dal </w:t>
      </w:r>
      <w:r>
        <w:rPr>
          <w:b/>
          <w:bCs/>
        </w:rPr>
        <w:t>sito web dell’AMFE</w:t>
      </w:r>
      <w:r>
        <w:rPr>
          <w:u w:val="single"/>
        </w:rPr>
        <w:t xml:space="preserve"> </w:t>
      </w:r>
    </w:p>
    <w:p w14:paraId="432BAF12" w14:textId="7DE80CA4" w:rsidR="001B2A09" w:rsidRDefault="001B2A09" w:rsidP="0043709E">
      <w:pPr>
        <w:spacing w:line="240" w:lineRule="auto"/>
        <w:jc w:val="both"/>
        <w:rPr>
          <w:rFonts w:cs="Calibri"/>
          <w:lang w:eastAsia="en-US"/>
        </w:rPr>
      </w:pPr>
    </w:p>
    <w:p w14:paraId="0AEE8F46" w14:textId="6ACD679C" w:rsidR="00880C60" w:rsidRDefault="0092210B" w:rsidP="00ED3104">
      <w:pPr>
        <w:pStyle w:val="BodyText"/>
        <w:spacing w:after="0" w:line="240" w:lineRule="auto"/>
        <w:jc w:val="center"/>
      </w:pPr>
      <w:r>
        <w:t>– Fine –</w:t>
      </w:r>
    </w:p>
    <w:bookmarkEnd w:id="1"/>
    <w:p w14:paraId="625B1F1C" w14:textId="77777777" w:rsidR="007F0D0A" w:rsidRPr="004F22A2" w:rsidRDefault="007F0D0A" w:rsidP="00155810">
      <w:pPr>
        <w:pStyle w:val="BodyText"/>
        <w:spacing w:after="0" w:line="240" w:lineRule="auto"/>
      </w:pPr>
    </w:p>
    <w:p w14:paraId="49163308" w14:textId="77777777" w:rsidR="00EA75C4" w:rsidRPr="004F22A2" w:rsidRDefault="00EA75C4" w:rsidP="0040580A">
      <w:pPr>
        <w:pStyle w:val="NormalBold"/>
        <w:outlineLvl w:val="0"/>
      </w:pPr>
      <w:r>
        <w:t>Contatto AMFE</w:t>
      </w:r>
    </w:p>
    <w:p w14:paraId="73B0953E" w14:textId="77777777" w:rsidR="00842CFD" w:rsidRPr="004F22A2" w:rsidRDefault="00842CFD" w:rsidP="00842CFD">
      <w:pPr>
        <w:pStyle w:val="BodyText"/>
        <w:jc w:val="left"/>
      </w:pPr>
      <w:r>
        <w:t>Rebecca Hansford</w:t>
      </w:r>
      <w:r>
        <w:br/>
        <w:t>Responsabile rapporti con i media</w:t>
      </w:r>
      <w:r>
        <w:br/>
      </w:r>
      <w:hyperlink r:id="rId8" w:history="1">
        <w:r>
          <w:rPr>
            <w:rStyle w:val="Hyperlink"/>
            <w:u w:val="single"/>
          </w:rPr>
          <w:t>rebecca.hansford@afme.eu</w:t>
        </w:r>
      </w:hyperlink>
      <w:r>
        <w:t xml:space="preserve"> </w:t>
      </w:r>
      <w:r>
        <w:br/>
        <w:t>+</w:t>
      </w:r>
      <w:r w:rsidRPr="00F918E9">
        <w:t>44</w:t>
      </w:r>
      <w:r>
        <w:t xml:space="preserve"> (</w:t>
      </w:r>
      <w:r w:rsidRPr="00F918E9">
        <w:t>0</w:t>
      </w:r>
      <w:r>
        <w:t>)</w:t>
      </w:r>
      <w:r w:rsidRPr="00F918E9">
        <w:t>20</w:t>
      </w:r>
      <w:r>
        <w:t xml:space="preserve"> </w:t>
      </w:r>
      <w:r w:rsidRPr="00F918E9">
        <w:t>3828</w:t>
      </w:r>
      <w:r>
        <w:t xml:space="preserve"> </w:t>
      </w:r>
      <w:r w:rsidRPr="00F918E9">
        <w:t>2693</w:t>
      </w:r>
      <w:r>
        <w:br/>
        <w:t>+</w:t>
      </w:r>
      <w:r w:rsidRPr="00F918E9">
        <w:t>44</w:t>
      </w:r>
      <w:r>
        <w:t xml:space="preserve"> (</w:t>
      </w:r>
      <w:r w:rsidRPr="00F918E9">
        <w:t>0</w:t>
      </w:r>
      <w:r>
        <w:t>)</w:t>
      </w:r>
      <w:r w:rsidRPr="00F918E9">
        <w:t>7825</w:t>
      </w:r>
      <w:r>
        <w:t xml:space="preserve"> </w:t>
      </w:r>
      <w:r w:rsidRPr="00F918E9">
        <w:t>081</w:t>
      </w:r>
      <w:r>
        <w:t xml:space="preserve"> </w:t>
      </w:r>
      <w:r w:rsidRPr="00F918E9">
        <w:t>686</w:t>
      </w:r>
      <w:r>
        <w:t xml:space="preserve"> </w:t>
      </w:r>
    </w:p>
    <w:p w14:paraId="398A4559" w14:textId="77777777" w:rsidR="00A2629D" w:rsidRDefault="00A2629D" w:rsidP="00E43A3C">
      <w:pPr>
        <w:rPr>
          <w:b/>
        </w:rPr>
      </w:pPr>
    </w:p>
    <w:p w14:paraId="08934BD1" w14:textId="77777777" w:rsidR="004664D6" w:rsidRPr="004F22A2" w:rsidRDefault="004664D6" w:rsidP="0040580A">
      <w:pPr>
        <w:outlineLvl w:val="0"/>
        <w:rPr>
          <w:b/>
        </w:rPr>
      </w:pPr>
      <w:r>
        <w:rPr>
          <w:b/>
        </w:rPr>
        <w:t>Informazioni sull’AMFE:</w:t>
      </w:r>
    </w:p>
    <w:p w14:paraId="15D0344B" w14:textId="77777777" w:rsidR="003B3C39" w:rsidRPr="004F22A2" w:rsidRDefault="003B3C39" w:rsidP="003B3C39">
      <w:pPr>
        <w:spacing w:line="240" w:lineRule="auto"/>
      </w:pPr>
      <w:r>
        <w:t xml:space="preserve">L’AFME (Associazione dei mercati finanziari europei) sostiene la necessità di mercati di capitali europei ampi e integrati che soddisfino le esigenze delle società e degli investitori, e sostengano lo sviluppo economico e apportino vantaggi alla società. L’AFME è la voce di tutti i mercati finanziari all’ingrosso d’Europa, e mette a disposizione la sua competenza su una vasta gamma di tematiche normative e dei mercati dei capitali. L’AFME mira a svolgere una funzione di ponte fra gli operatori del mercato e i responsabili delle politiche a livello europeo, grazie ai suoi rapporti solidi e duraturi, alla sua conoscenza tecnica e al suo operato obiettivo. I suoi membri comprendono banche pan-europee e globali, nonché banche regionali, broker, studi legali, investitori e altri operatori dei mercati finanziari. L’AFME partecipa ad un’alleanza globale con la Securities Industry and Financial Markets Association (SIFMA) negli USA e l'Asia Securities Industry and Financial Markets Association (ASIFMA) tramite la GFMA (Global Financial Markets Association). Per ulteriori informazioni visitare il sito web AFME: </w:t>
      </w:r>
      <w:hyperlink r:id="rId9" w:history="1">
        <w:r>
          <w:rPr>
            <w:rStyle w:val="Hyperlink"/>
          </w:rPr>
          <w:t>www.afme.eu</w:t>
        </w:r>
      </w:hyperlink>
      <w:r>
        <w:t>.</w:t>
      </w:r>
    </w:p>
    <w:p w14:paraId="6F72F0E4" w14:textId="77777777" w:rsidR="002F02C6" w:rsidRDefault="003B3C39">
      <w:pPr>
        <w:spacing w:line="240" w:lineRule="auto"/>
      </w:pPr>
      <w:r>
        <w:t xml:space="preserve">Seguiteci su Twitter @AFME_EU </w:t>
      </w:r>
    </w:p>
    <w:sectPr w:rsidR="002F02C6" w:rsidSect="004B0D81">
      <w:footerReference w:type="default" r:id="rId10"/>
      <w:headerReference w:type="first" r:id="rId11"/>
      <w:pgSz w:w="11906" w:h="16838" w:code="9"/>
      <w:pgMar w:top="2268" w:right="851" w:bottom="1985"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CD425" w14:textId="77777777" w:rsidR="002776B1" w:rsidRDefault="002776B1" w:rsidP="00C42475">
      <w:pPr>
        <w:spacing w:line="240" w:lineRule="auto"/>
      </w:pPr>
      <w:r>
        <w:separator/>
      </w:r>
    </w:p>
  </w:endnote>
  <w:endnote w:type="continuationSeparator" w:id="0">
    <w:p w14:paraId="1DDE0E6D" w14:textId="77777777" w:rsidR="002776B1" w:rsidRDefault="002776B1" w:rsidP="00C424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B79B" w14:textId="4D790205" w:rsidR="000D0FB2" w:rsidRPr="00E437B9" w:rsidRDefault="000D0FB2" w:rsidP="00E437B9">
    <w:pPr>
      <w:pStyle w:val="AFMEPagenumber"/>
      <w:rPr>
        <w:noProof/>
      </w:rPr>
    </w:pPr>
    <w:r>
      <w:rPr>
        <w:noProof/>
      </w:rPr>
      <w:drawing>
        <wp:anchor distT="0" distB="0" distL="114300" distR="114300" simplePos="0" relativeHeight="251657216" behindDoc="0" locked="0" layoutInCell="1" allowOverlap="1" wp14:anchorId="02495531" wp14:editId="5255F9EA">
          <wp:simplePos x="0" y="0"/>
          <wp:positionH relativeFrom="page">
            <wp:posOffset>6732905</wp:posOffset>
          </wp:positionH>
          <wp:positionV relativeFrom="page">
            <wp:posOffset>10009505</wp:posOffset>
          </wp:positionV>
          <wp:extent cx="101520" cy="143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ME_rgb_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 cy="143640"/>
                  </a:xfrm>
                  <a:prstGeom prst="rect">
                    <a:avLst/>
                  </a:prstGeom>
                </pic:spPr>
              </pic:pic>
            </a:graphicData>
          </a:graphic>
        </wp:anchor>
      </w:drawing>
    </w:r>
    <w:r w:rsidR="00CC27C7">
      <w:fldChar w:fldCharType="begin"/>
    </w:r>
    <w:r w:rsidR="00CC27C7">
      <w:instrText xml:space="preserve"> PAGE   \* MERGEFORMAT </w:instrText>
    </w:r>
    <w:r w:rsidR="00CC27C7">
      <w:fldChar w:fldCharType="separate"/>
    </w:r>
    <w:r w:rsidR="000A317C">
      <w:t>2</w:t>
    </w:r>
    <w:r w:rsidR="00CC27C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E6C83" w14:textId="77777777" w:rsidR="002776B1" w:rsidRPr="00FB1672" w:rsidRDefault="002776B1" w:rsidP="00C42475">
      <w:pPr>
        <w:spacing w:line="240" w:lineRule="auto"/>
        <w:rPr>
          <w:color w:val="78A22F" w:themeColor="accent1"/>
        </w:rPr>
      </w:pPr>
      <w:r w:rsidRPr="00FB1672">
        <w:rPr>
          <w:color w:val="78A22F" w:themeColor="accent1"/>
        </w:rPr>
        <w:separator/>
      </w:r>
    </w:p>
  </w:footnote>
  <w:footnote w:type="continuationSeparator" w:id="0">
    <w:p w14:paraId="47826516" w14:textId="77777777" w:rsidR="002776B1" w:rsidRDefault="002776B1" w:rsidP="00C424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BEA56" w14:textId="36F52DC5" w:rsidR="006C63D0" w:rsidRDefault="00887AC7" w:rsidP="00887AC7">
    <w:pPr>
      <w:pStyle w:val="AFMEFullName"/>
      <w:jc w:val="left"/>
    </w:pPr>
    <w:r>
      <w:drawing>
        <wp:anchor distT="0" distB="0" distL="114300" distR="114300" simplePos="0" relativeHeight="251668480" behindDoc="0" locked="0" layoutInCell="1" allowOverlap="1" wp14:anchorId="33EDB3C7" wp14:editId="276BC3D5">
          <wp:simplePos x="0" y="0"/>
          <wp:positionH relativeFrom="column">
            <wp:posOffset>1330443</wp:posOffset>
          </wp:positionH>
          <wp:positionV relativeFrom="paragraph">
            <wp:posOffset>-274187</wp:posOffset>
          </wp:positionV>
          <wp:extent cx="455428" cy="455428"/>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428" cy="455428"/>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9264" behindDoc="0" locked="0" layoutInCell="1" allowOverlap="1" wp14:anchorId="6FCE1C83" wp14:editId="7BC40530">
          <wp:simplePos x="0" y="0"/>
          <wp:positionH relativeFrom="column">
            <wp:posOffset>2203863</wp:posOffset>
          </wp:positionH>
          <wp:positionV relativeFrom="paragraph">
            <wp:posOffset>-171376</wp:posOffset>
          </wp:positionV>
          <wp:extent cx="1247775" cy="3238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6513" t="30087" r="5581" b="26550"/>
                  <a:stretch/>
                </pic:blipFill>
                <pic:spPr bwMode="auto">
                  <a:xfrm>
                    <a:off x="0" y="0"/>
                    <a:ext cx="124777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0" locked="0" layoutInCell="1" allowOverlap="1" wp14:anchorId="1A697B7E" wp14:editId="60BB4DD9">
          <wp:simplePos x="0" y="0"/>
          <wp:positionH relativeFrom="column">
            <wp:posOffset>3658515</wp:posOffset>
          </wp:positionH>
          <wp:positionV relativeFrom="paragraph">
            <wp:posOffset>-188684</wp:posOffset>
          </wp:positionV>
          <wp:extent cx="1162050" cy="3378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62050" cy="33782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0" locked="0" layoutInCell="1" allowOverlap="1" wp14:anchorId="4B61FAC5" wp14:editId="6D67FE5B">
          <wp:simplePos x="0" y="0"/>
          <wp:positionH relativeFrom="margin">
            <wp:posOffset>5115264</wp:posOffset>
          </wp:positionH>
          <wp:positionV relativeFrom="paragraph">
            <wp:posOffset>-350402</wp:posOffset>
          </wp:positionV>
          <wp:extent cx="1143635" cy="4978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635" cy="49784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360" behindDoc="1" locked="0" layoutInCell="1" allowOverlap="1" wp14:anchorId="46E0B168" wp14:editId="1CEC47CB">
          <wp:simplePos x="0" y="0"/>
          <wp:positionH relativeFrom="column">
            <wp:posOffset>3140533</wp:posOffset>
          </wp:positionH>
          <wp:positionV relativeFrom="paragraph">
            <wp:posOffset>396875</wp:posOffset>
          </wp:positionV>
          <wp:extent cx="1104900" cy="277495"/>
          <wp:effectExtent l="0" t="0" r="0" b="8255"/>
          <wp:wrapTight wrapText="bothSides">
            <wp:wrapPolygon edited="0">
              <wp:start x="0" y="0"/>
              <wp:lineTo x="0" y="20760"/>
              <wp:lineTo x="21228" y="20760"/>
              <wp:lineTo x="212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15349" t="35398" r="14419" b="30974"/>
                  <a:stretch/>
                </pic:blipFill>
                <pic:spPr bwMode="auto">
                  <a:xfrm>
                    <a:off x="0" y="0"/>
                    <a:ext cx="1104900"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456" behindDoc="0" locked="0" layoutInCell="1" allowOverlap="1" wp14:anchorId="0012B480" wp14:editId="71F2ECC8">
          <wp:simplePos x="0" y="0"/>
          <wp:positionH relativeFrom="column">
            <wp:posOffset>2026920</wp:posOffset>
          </wp:positionH>
          <wp:positionV relativeFrom="paragraph">
            <wp:posOffset>280655</wp:posOffset>
          </wp:positionV>
          <wp:extent cx="949960" cy="393065"/>
          <wp:effectExtent l="0" t="0" r="2540" b="6985"/>
          <wp:wrapThrough wrapText="bothSides">
            <wp:wrapPolygon edited="0">
              <wp:start x="0" y="0"/>
              <wp:lineTo x="0" y="20937"/>
              <wp:lineTo x="21225" y="20937"/>
              <wp:lineTo x="2122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9960" cy="39306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1" locked="0" layoutInCell="1" allowOverlap="1" wp14:anchorId="0274DE38" wp14:editId="4F4F24D3">
          <wp:simplePos x="0" y="0"/>
          <wp:positionH relativeFrom="column">
            <wp:posOffset>837447</wp:posOffset>
          </wp:positionH>
          <wp:positionV relativeFrom="paragraph">
            <wp:posOffset>329255</wp:posOffset>
          </wp:positionV>
          <wp:extent cx="1129030" cy="448945"/>
          <wp:effectExtent l="0" t="0" r="0" b="8255"/>
          <wp:wrapTight wrapText="bothSides">
            <wp:wrapPolygon edited="0">
              <wp:start x="0" y="0"/>
              <wp:lineTo x="0" y="21081"/>
              <wp:lineTo x="21138" y="21081"/>
              <wp:lineTo x="211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8372" t="18584" r="7441" b="17699"/>
                  <a:stretch/>
                </pic:blipFill>
                <pic:spPr bwMode="auto">
                  <a:xfrm>
                    <a:off x="0" y="0"/>
                    <a:ext cx="1129030" cy="44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0" locked="0" layoutInCell="1" allowOverlap="1" wp14:anchorId="50088650" wp14:editId="36A07AB0">
          <wp:simplePos x="0" y="0"/>
          <wp:positionH relativeFrom="margin">
            <wp:posOffset>-135757</wp:posOffset>
          </wp:positionH>
          <wp:positionV relativeFrom="paragraph">
            <wp:posOffset>329388</wp:posOffset>
          </wp:positionV>
          <wp:extent cx="786810" cy="416173"/>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810" cy="416173"/>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6432" behindDoc="0" locked="0" layoutInCell="1" allowOverlap="1" wp14:anchorId="6F99F085" wp14:editId="6500F348">
          <wp:simplePos x="0" y="0"/>
          <wp:positionH relativeFrom="column">
            <wp:posOffset>5674995</wp:posOffset>
          </wp:positionH>
          <wp:positionV relativeFrom="paragraph">
            <wp:posOffset>280670</wp:posOffset>
          </wp:positionV>
          <wp:extent cx="885825" cy="507365"/>
          <wp:effectExtent l="38100" t="38100" r="28575" b="45085"/>
          <wp:wrapThrough wrapText="bothSides">
            <wp:wrapPolygon edited="0">
              <wp:start x="-1014" y="46"/>
              <wp:lineTo x="-479" y="21127"/>
              <wp:lineTo x="18192" y="21679"/>
              <wp:lineTo x="22358" y="21076"/>
              <wp:lineTo x="21283" y="-1555"/>
              <wp:lineTo x="18892" y="-2836"/>
              <wp:lineTo x="4078" y="-692"/>
              <wp:lineTo x="-1014" y="4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4384" behindDoc="1" locked="0" layoutInCell="1" allowOverlap="1" wp14:anchorId="1DF10489" wp14:editId="43563E70">
          <wp:simplePos x="0" y="0"/>
          <wp:positionH relativeFrom="margin">
            <wp:posOffset>4454525</wp:posOffset>
          </wp:positionH>
          <wp:positionV relativeFrom="paragraph">
            <wp:posOffset>295319</wp:posOffset>
          </wp:positionV>
          <wp:extent cx="1108075" cy="447675"/>
          <wp:effectExtent l="0" t="0" r="0" b="9525"/>
          <wp:wrapTight wrapText="bothSides">
            <wp:wrapPolygon edited="0">
              <wp:start x="0" y="0"/>
              <wp:lineTo x="0" y="21140"/>
              <wp:lineTo x="21167" y="21140"/>
              <wp:lineTo x="211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0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1" allowOverlap="1" wp14:anchorId="476159EE" wp14:editId="7F12503E">
          <wp:simplePos x="0" y="0"/>
          <wp:positionH relativeFrom="page">
            <wp:posOffset>400050</wp:posOffset>
          </wp:positionH>
          <wp:positionV relativeFrom="page">
            <wp:posOffset>262934</wp:posOffset>
          </wp:positionV>
          <wp:extent cx="973181" cy="38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ME_rgb_high_CW cropp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3181" cy="381000"/>
                  </a:xfrm>
                  <a:prstGeom prst="rect">
                    <a:avLst/>
                  </a:prstGeom>
                </pic:spPr>
              </pic:pic>
            </a:graphicData>
          </a:graphic>
          <wp14:sizeRelH relativeFrom="margin">
            <wp14:pctWidth>0</wp14:pctWidth>
          </wp14:sizeRelH>
          <wp14:sizeRelV relativeFrom="margin">
            <wp14:pctHeight>0</wp14:pctHeight>
          </wp14:sizeRelV>
        </wp:anchor>
      </w:drawing>
    </w:r>
  </w:p>
  <w:p w14:paraId="3F58DC56" w14:textId="551BB2BD" w:rsidR="000D0FB2" w:rsidRDefault="000D0FB2" w:rsidP="008308CD">
    <w:pPr>
      <w:pStyle w:val="AFMEFullNam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1EB"/>
    <w:multiLevelType w:val="hybridMultilevel"/>
    <w:tmpl w:val="B32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E0B23"/>
    <w:multiLevelType w:val="multilevel"/>
    <w:tmpl w:val="6DB425B6"/>
    <w:numStyleLink w:val="AFMENumbering"/>
  </w:abstractNum>
  <w:abstractNum w:abstractNumId="2" w15:restartNumberingAfterBreak="0">
    <w:nsid w:val="0B597AFC"/>
    <w:multiLevelType w:val="hybridMultilevel"/>
    <w:tmpl w:val="B81471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F167B"/>
    <w:multiLevelType w:val="hybridMultilevel"/>
    <w:tmpl w:val="EBFE1092"/>
    <w:lvl w:ilvl="0" w:tplc="31CA9F40">
      <w:numFmt w:val="bullet"/>
      <w:lvlText w:val="•"/>
      <w:lvlJc w:val="left"/>
      <w:pPr>
        <w:ind w:left="1080" w:hanging="72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B68A7"/>
    <w:multiLevelType w:val="hybridMultilevel"/>
    <w:tmpl w:val="589C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210B9"/>
    <w:multiLevelType w:val="multilevel"/>
    <w:tmpl w:val="023E8784"/>
    <w:styleLink w:val="AFMEBullets"/>
    <w:lvl w:ilvl="0">
      <w:start w:val="1"/>
      <w:numFmt w:val="bullet"/>
      <w:pStyle w:val="Bullets1"/>
      <w:lvlText w:val=""/>
      <w:lvlJc w:val="left"/>
      <w:pPr>
        <w:tabs>
          <w:tab w:val="num" w:pos="284"/>
        </w:tabs>
        <w:ind w:left="284" w:hanging="284"/>
      </w:pPr>
      <w:rPr>
        <w:rFonts w:ascii="Symbol" w:hAnsi="Symbol" w:hint="default"/>
        <w:color w:val="78A22F" w:themeColor="accent1"/>
      </w:rPr>
    </w:lvl>
    <w:lvl w:ilvl="1">
      <w:start w:val="1"/>
      <w:numFmt w:val="bullet"/>
      <w:pStyle w:val="Bullets2"/>
      <w:lvlText w:val=""/>
      <w:lvlJc w:val="left"/>
      <w:pPr>
        <w:tabs>
          <w:tab w:val="num" w:pos="567"/>
        </w:tabs>
        <w:ind w:left="567" w:hanging="283"/>
      </w:pPr>
      <w:rPr>
        <w:rFonts w:ascii="Symbol" w:hAnsi="Symbol" w:hint="default"/>
        <w:color w:val="58595B" w:themeColor="accent6"/>
      </w:rPr>
    </w:lvl>
    <w:lvl w:ilvl="2">
      <w:start w:val="1"/>
      <w:numFmt w:val="bullet"/>
      <w:pStyle w:val="Bullets3"/>
      <w:lvlText w:val=""/>
      <w:lvlJc w:val="left"/>
      <w:pPr>
        <w:tabs>
          <w:tab w:val="num" w:pos="851"/>
        </w:tabs>
        <w:ind w:left="851" w:hanging="284"/>
      </w:pPr>
      <w:rPr>
        <w:rFonts w:ascii="Symbol" w:hAnsi="Symbol" w:hint="default"/>
        <w:color w:val="C9DAAC" w:themeColor="accent2"/>
      </w:rPr>
    </w:lvl>
    <w:lvl w:ilvl="3">
      <w:start w:val="1"/>
      <w:numFmt w:val="bullet"/>
      <w:lvlText w:val=""/>
      <w:lvlJc w:val="left"/>
      <w:pPr>
        <w:tabs>
          <w:tab w:val="num" w:pos="1134"/>
        </w:tabs>
        <w:ind w:left="1134" w:hanging="283"/>
      </w:pPr>
      <w:rPr>
        <w:rFonts w:ascii="Symbol" w:hAnsi="Symbol" w:hint="default"/>
        <w:color w:val="CFD0D2" w:themeColor="accent3"/>
      </w:rPr>
    </w:lvl>
    <w:lvl w:ilvl="4">
      <w:start w:val="1"/>
      <w:numFmt w:val="bullet"/>
      <w:lvlText w:val=""/>
      <w:lvlJc w:val="left"/>
      <w:pPr>
        <w:tabs>
          <w:tab w:val="num" w:pos="1418"/>
        </w:tabs>
        <w:ind w:left="1418" w:hanging="284"/>
      </w:pPr>
      <w:rPr>
        <w:rFonts w:ascii="Symbol" w:hAnsi="Symbol" w:hint="default"/>
        <w:color w:val="808285" w:themeColor="accent5"/>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FC4F1E"/>
    <w:multiLevelType w:val="hybridMultilevel"/>
    <w:tmpl w:val="FD86AE64"/>
    <w:lvl w:ilvl="0" w:tplc="706090C0">
      <w:start w:val="25"/>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020CB"/>
    <w:multiLevelType w:val="hybridMultilevel"/>
    <w:tmpl w:val="649ACB5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AE236A"/>
    <w:multiLevelType w:val="multilevel"/>
    <w:tmpl w:val="86783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FB14999"/>
    <w:multiLevelType w:val="multilevel"/>
    <w:tmpl w:val="5216811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318D227F"/>
    <w:multiLevelType w:val="multilevel"/>
    <w:tmpl w:val="6DB425B6"/>
    <w:styleLink w:val="AFMENumbering"/>
    <w:lvl w:ilvl="0">
      <w:start w:val="1"/>
      <w:numFmt w:val="none"/>
      <w:pStyle w:val="SectionHeading"/>
      <w:suff w:val="nothing"/>
      <w:lvlText w:val=""/>
      <w:lvlJc w:val="left"/>
      <w:pPr>
        <w:ind w:left="0" w:firstLine="0"/>
      </w:pPr>
      <w:rPr>
        <w:rFonts w:hint="default"/>
      </w:rPr>
    </w:lvl>
    <w:lvl w:ilvl="1">
      <w:start w:val="1"/>
      <w:numFmt w:val="decimal"/>
      <w:lvlRestart w:val="0"/>
      <w:pStyle w:val="Level1"/>
      <w:lvlText w:val="%2"/>
      <w:lvlJc w:val="left"/>
      <w:pPr>
        <w:tabs>
          <w:tab w:val="num" w:pos="567"/>
        </w:tabs>
        <w:ind w:left="567" w:hanging="567"/>
      </w:pPr>
      <w:rPr>
        <w:rFonts w:hint="default"/>
      </w:rPr>
    </w:lvl>
    <w:lvl w:ilvl="2">
      <w:start w:val="1"/>
      <w:numFmt w:val="decimal"/>
      <w:pStyle w:val="Level2"/>
      <w:lvlText w:val="%2.%3"/>
      <w:lvlJc w:val="left"/>
      <w:pPr>
        <w:tabs>
          <w:tab w:val="num" w:pos="567"/>
        </w:tabs>
        <w:ind w:left="567" w:hanging="567"/>
      </w:pPr>
      <w:rPr>
        <w:rFonts w:hint="default"/>
      </w:rPr>
    </w:lvl>
    <w:lvl w:ilvl="3">
      <w:start w:val="1"/>
      <w:numFmt w:val="decimal"/>
      <w:pStyle w:val="Level3"/>
      <w:lvlText w:val="%2.%3.%4"/>
      <w:lvlJc w:val="left"/>
      <w:pPr>
        <w:tabs>
          <w:tab w:val="num" w:pos="567"/>
        </w:tabs>
        <w:ind w:left="567" w:hanging="567"/>
      </w:pPr>
      <w:rPr>
        <w:rFonts w:hint="default"/>
      </w:rPr>
    </w:lvl>
    <w:lvl w:ilvl="4">
      <w:start w:val="1"/>
      <w:numFmt w:val="lowerLetter"/>
      <w:pStyle w:val="Level4"/>
      <w:lvlText w:val="%5."/>
      <w:lvlJc w:val="left"/>
      <w:pPr>
        <w:tabs>
          <w:tab w:val="num" w:pos="567"/>
        </w:tabs>
        <w:ind w:left="567" w:hanging="567"/>
      </w:pPr>
      <w:rPr>
        <w:rFonts w:hint="default"/>
      </w:rPr>
    </w:lvl>
    <w:lvl w:ilvl="5">
      <w:start w:val="1"/>
      <w:numFmt w:val="lowerRoman"/>
      <w:pStyle w:val="Level5"/>
      <w:lvlText w:val="%6."/>
      <w:lvlJc w:val="left"/>
      <w:pPr>
        <w:ind w:left="567"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47198F"/>
    <w:multiLevelType w:val="hybridMultilevel"/>
    <w:tmpl w:val="259E8BE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E6AA7"/>
    <w:multiLevelType w:val="hybridMultilevel"/>
    <w:tmpl w:val="AD7015F6"/>
    <w:lvl w:ilvl="0" w:tplc="BDA02AA0">
      <w:numFmt w:val="bullet"/>
      <w:lvlText w:val=""/>
      <w:lvlJc w:val="left"/>
      <w:pPr>
        <w:ind w:left="1003" w:hanging="284"/>
      </w:pPr>
      <w:rPr>
        <w:rFonts w:ascii="Symbol" w:eastAsia="Symbol" w:hAnsi="Symbol" w:cs="Symbol" w:hint="default"/>
        <w:color w:val="78A22F"/>
        <w:w w:val="100"/>
        <w:sz w:val="22"/>
        <w:szCs w:val="22"/>
        <w:lang w:val="en-GB" w:eastAsia="en-GB" w:bidi="en-GB"/>
      </w:rPr>
    </w:lvl>
    <w:lvl w:ilvl="1" w:tplc="CB9CBBF2">
      <w:numFmt w:val="bullet"/>
      <w:lvlText w:val="•"/>
      <w:lvlJc w:val="left"/>
      <w:pPr>
        <w:ind w:left="2012" w:hanging="284"/>
      </w:pPr>
      <w:rPr>
        <w:rFonts w:hint="default"/>
        <w:lang w:val="en-GB" w:eastAsia="en-GB" w:bidi="en-GB"/>
      </w:rPr>
    </w:lvl>
    <w:lvl w:ilvl="2" w:tplc="C538A5F2">
      <w:numFmt w:val="bullet"/>
      <w:lvlText w:val="•"/>
      <w:lvlJc w:val="left"/>
      <w:pPr>
        <w:ind w:left="3017" w:hanging="284"/>
      </w:pPr>
      <w:rPr>
        <w:rFonts w:hint="default"/>
        <w:lang w:val="en-GB" w:eastAsia="en-GB" w:bidi="en-GB"/>
      </w:rPr>
    </w:lvl>
    <w:lvl w:ilvl="3" w:tplc="D736B164">
      <w:numFmt w:val="bullet"/>
      <w:lvlText w:val="•"/>
      <w:lvlJc w:val="left"/>
      <w:pPr>
        <w:ind w:left="4021" w:hanging="284"/>
      </w:pPr>
      <w:rPr>
        <w:rFonts w:hint="default"/>
        <w:lang w:val="en-GB" w:eastAsia="en-GB" w:bidi="en-GB"/>
      </w:rPr>
    </w:lvl>
    <w:lvl w:ilvl="4" w:tplc="D91817E2">
      <w:numFmt w:val="bullet"/>
      <w:lvlText w:val="•"/>
      <w:lvlJc w:val="left"/>
      <w:pPr>
        <w:ind w:left="5026" w:hanging="284"/>
      </w:pPr>
      <w:rPr>
        <w:rFonts w:hint="default"/>
        <w:lang w:val="en-GB" w:eastAsia="en-GB" w:bidi="en-GB"/>
      </w:rPr>
    </w:lvl>
    <w:lvl w:ilvl="5" w:tplc="A904AB92">
      <w:numFmt w:val="bullet"/>
      <w:lvlText w:val="•"/>
      <w:lvlJc w:val="left"/>
      <w:pPr>
        <w:ind w:left="6031" w:hanging="284"/>
      </w:pPr>
      <w:rPr>
        <w:rFonts w:hint="default"/>
        <w:lang w:val="en-GB" w:eastAsia="en-GB" w:bidi="en-GB"/>
      </w:rPr>
    </w:lvl>
    <w:lvl w:ilvl="6" w:tplc="883CEEA0">
      <w:numFmt w:val="bullet"/>
      <w:lvlText w:val="•"/>
      <w:lvlJc w:val="left"/>
      <w:pPr>
        <w:ind w:left="7035" w:hanging="284"/>
      </w:pPr>
      <w:rPr>
        <w:rFonts w:hint="default"/>
        <w:lang w:val="en-GB" w:eastAsia="en-GB" w:bidi="en-GB"/>
      </w:rPr>
    </w:lvl>
    <w:lvl w:ilvl="7" w:tplc="0596BD4C">
      <w:numFmt w:val="bullet"/>
      <w:lvlText w:val="•"/>
      <w:lvlJc w:val="left"/>
      <w:pPr>
        <w:ind w:left="8040" w:hanging="284"/>
      </w:pPr>
      <w:rPr>
        <w:rFonts w:hint="default"/>
        <w:lang w:val="en-GB" w:eastAsia="en-GB" w:bidi="en-GB"/>
      </w:rPr>
    </w:lvl>
    <w:lvl w:ilvl="8" w:tplc="7DE06826">
      <w:numFmt w:val="bullet"/>
      <w:lvlText w:val="•"/>
      <w:lvlJc w:val="left"/>
      <w:pPr>
        <w:ind w:left="9045" w:hanging="284"/>
      </w:pPr>
      <w:rPr>
        <w:rFonts w:hint="default"/>
        <w:lang w:val="en-GB" w:eastAsia="en-GB" w:bidi="en-GB"/>
      </w:rPr>
    </w:lvl>
  </w:abstractNum>
  <w:abstractNum w:abstractNumId="13" w15:restartNumberingAfterBreak="0">
    <w:nsid w:val="366C1CEA"/>
    <w:multiLevelType w:val="multilevel"/>
    <w:tmpl w:val="023E8784"/>
    <w:numStyleLink w:val="AFMEBullets"/>
  </w:abstractNum>
  <w:abstractNum w:abstractNumId="14" w15:restartNumberingAfterBreak="0">
    <w:nsid w:val="38652B80"/>
    <w:multiLevelType w:val="multilevel"/>
    <w:tmpl w:val="244003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01D4F5D"/>
    <w:multiLevelType w:val="hybridMultilevel"/>
    <w:tmpl w:val="BDB44852"/>
    <w:lvl w:ilvl="0" w:tplc="706090C0">
      <w:start w:val="25"/>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50252"/>
    <w:multiLevelType w:val="multilevel"/>
    <w:tmpl w:val="63D8C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C2732C8"/>
    <w:multiLevelType w:val="hybridMultilevel"/>
    <w:tmpl w:val="AFC6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10C33"/>
    <w:multiLevelType w:val="multilevel"/>
    <w:tmpl w:val="4F0AA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17E2653"/>
    <w:multiLevelType w:val="multilevel"/>
    <w:tmpl w:val="13D42B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2501475"/>
    <w:multiLevelType w:val="hybridMultilevel"/>
    <w:tmpl w:val="E378E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4A2961"/>
    <w:multiLevelType w:val="hybridMultilevel"/>
    <w:tmpl w:val="3A8C6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0422E"/>
    <w:multiLevelType w:val="hybridMultilevel"/>
    <w:tmpl w:val="6D862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173AA8"/>
    <w:multiLevelType w:val="hybridMultilevel"/>
    <w:tmpl w:val="DD5232CE"/>
    <w:lvl w:ilvl="0" w:tplc="93C0CE02">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29B7B0E"/>
    <w:multiLevelType w:val="hybridMultilevel"/>
    <w:tmpl w:val="1CD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80811"/>
    <w:multiLevelType w:val="hybridMultilevel"/>
    <w:tmpl w:val="551A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45A87"/>
    <w:multiLevelType w:val="multilevel"/>
    <w:tmpl w:val="7254854C"/>
    <w:styleLink w:val="Sources"/>
    <w:lvl w:ilvl="0">
      <w:start w:val="1"/>
      <w:numFmt w:val="none"/>
      <w:pStyle w:val="Source"/>
      <w:suff w:val="space"/>
      <w:lvlText w:val="Source:"/>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B4B372F"/>
    <w:multiLevelType w:val="hybridMultilevel"/>
    <w:tmpl w:val="9134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27657"/>
    <w:multiLevelType w:val="hybridMultilevel"/>
    <w:tmpl w:val="E7BE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A43E1"/>
    <w:multiLevelType w:val="hybridMultilevel"/>
    <w:tmpl w:val="84D67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6"/>
  </w:num>
  <w:num w:numId="4">
    <w:abstractNumId w:val="13"/>
  </w:num>
  <w:num w:numId="5">
    <w:abstractNumId w:val="1"/>
  </w:num>
  <w:num w:numId="6">
    <w:abstractNumId w:val="23"/>
  </w:num>
  <w:num w:numId="7">
    <w:abstractNumId w:val="23"/>
  </w:num>
  <w:num w:numId="8">
    <w:abstractNumId w:val="27"/>
  </w:num>
  <w:num w:numId="9">
    <w:abstractNumId w:val="18"/>
  </w:num>
  <w:num w:numId="10">
    <w:abstractNumId w:val="14"/>
  </w:num>
  <w:num w:numId="11">
    <w:abstractNumId w:val="19"/>
  </w:num>
  <w:num w:numId="12">
    <w:abstractNumId w:val="9"/>
  </w:num>
  <w:num w:numId="13">
    <w:abstractNumId w:val="16"/>
  </w:num>
  <w:num w:numId="14">
    <w:abstractNumId w:val="22"/>
  </w:num>
  <w:num w:numId="15">
    <w:abstractNumId w:val="29"/>
  </w:num>
  <w:num w:numId="16">
    <w:abstractNumId w:val="3"/>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2"/>
  </w:num>
  <w:num w:numId="21">
    <w:abstractNumId w:val="4"/>
  </w:num>
  <w:num w:numId="22">
    <w:abstractNumId w:val="21"/>
  </w:num>
  <w:num w:numId="23">
    <w:abstractNumId w:val="15"/>
  </w:num>
  <w:num w:numId="24">
    <w:abstractNumId w:val="6"/>
  </w:num>
  <w:num w:numId="25">
    <w:abstractNumId w:val="25"/>
  </w:num>
  <w:num w:numId="26">
    <w:abstractNumId w:val="20"/>
  </w:num>
  <w:num w:numId="27">
    <w:abstractNumId w:val="24"/>
  </w:num>
  <w:num w:numId="28">
    <w:abstractNumId w:val="0"/>
  </w:num>
  <w:num w:numId="29">
    <w:abstractNumId w:val="7"/>
  </w:num>
  <w:num w:numId="30">
    <w:abstractNumId w:val="11"/>
  </w:num>
  <w:num w:numId="31">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xNTQysTAzMrA0MDVR0lEKTi0uzszPAykwqgUAsbDEjSwAAAA="/>
  </w:docVars>
  <w:rsids>
    <w:rsidRoot w:val="00505CAE"/>
    <w:rsid w:val="0000314D"/>
    <w:rsid w:val="000042A9"/>
    <w:rsid w:val="00007CC6"/>
    <w:rsid w:val="000146FF"/>
    <w:rsid w:val="000200E8"/>
    <w:rsid w:val="00020F3C"/>
    <w:rsid w:val="00023870"/>
    <w:rsid w:val="00023EB9"/>
    <w:rsid w:val="00027AB7"/>
    <w:rsid w:val="0003040A"/>
    <w:rsid w:val="00033167"/>
    <w:rsid w:val="000367FC"/>
    <w:rsid w:val="00037E72"/>
    <w:rsid w:val="00043DCF"/>
    <w:rsid w:val="000440F4"/>
    <w:rsid w:val="0004750C"/>
    <w:rsid w:val="0005258E"/>
    <w:rsid w:val="000561DF"/>
    <w:rsid w:val="000577EC"/>
    <w:rsid w:val="00060D96"/>
    <w:rsid w:val="00061F14"/>
    <w:rsid w:val="000631EB"/>
    <w:rsid w:val="00064AE4"/>
    <w:rsid w:val="00066069"/>
    <w:rsid w:val="00071486"/>
    <w:rsid w:val="000716AC"/>
    <w:rsid w:val="000748CF"/>
    <w:rsid w:val="00080373"/>
    <w:rsid w:val="00080A4D"/>
    <w:rsid w:val="00081B2A"/>
    <w:rsid w:val="00090400"/>
    <w:rsid w:val="000912C7"/>
    <w:rsid w:val="000924F1"/>
    <w:rsid w:val="00092B1A"/>
    <w:rsid w:val="00093CA5"/>
    <w:rsid w:val="00093CE7"/>
    <w:rsid w:val="0009491F"/>
    <w:rsid w:val="0009515A"/>
    <w:rsid w:val="00096486"/>
    <w:rsid w:val="00096781"/>
    <w:rsid w:val="00097266"/>
    <w:rsid w:val="000A19E5"/>
    <w:rsid w:val="000A317C"/>
    <w:rsid w:val="000A5443"/>
    <w:rsid w:val="000A6DBF"/>
    <w:rsid w:val="000A714A"/>
    <w:rsid w:val="000A7EE6"/>
    <w:rsid w:val="000B5D75"/>
    <w:rsid w:val="000B7742"/>
    <w:rsid w:val="000C1DB1"/>
    <w:rsid w:val="000C288B"/>
    <w:rsid w:val="000C380A"/>
    <w:rsid w:val="000C6A34"/>
    <w:rsid w:val="000D0FB2"/>
    <w:rsid w:val="000D46E8"/>
    <w:rsid w:val="000D5B0D"/>
    <w:rsid w:val="000D63F1"/>
    <w:rsid w:val="000D7561"/>
    <w:rsid w:val="000D7A44"/>
    <w:rsid w:val="000E086F"/>
    <w:rsid w:val="000E0D05"/>
    <w:rsid w:val="000E29BA"/>
    <w:rsid w:val="000F1947"/>
    <w:rsid w:val="000F5130"/>
    <w:rsid w:val="000F6737"/>
    <w:rsid w:val="000F6A1B"/>
    <w:rsid w:val="00100D5C"/>
    <w:rsid w:val="0010184D"/>
    <w:rsid w:val="001052FF"/>
    <w:rsid w:val="001060AC"/>
    <w:rsid w:val="00110178"/>
    <w:rsid w:val="0011262C"/>
    <w:rsid w:val="001146FE"/>
    <w:rsid w:val="00116AB2"/>
    <w:rsid w:val="00116C66"/>
    <w:rsid w:val="001175C6"/>
    <w:rsid w:val="00122CD4"/>
    <w:rsid w:val="00124D4C"/>
    <w:rsid w:val="0013071C"/>
    <w:rsid w:val="0013202B"/>
    <w:rsid w:val="001347DA"/>
    <w:rsid w:val="00134D6F"/>
    <w:rsid w:val="00135928"/>
    <w:rsid w:val="00137136"/>
    <w:rsid w:val="00137B77"/>
    <w:rsid w:val="00142F02"/>
    <w:rsid w:val="00146014"/>
    <w:rsid w:val="001503ED"/>
    <w:rsid w:val="00151999"/>
    <w:rsid w:val="00153470"/>
    <w:rsid w:val="00154744"/>
    <w:rsid w:val="00154C09"/>
    <w:rsid w:val="00155810"/>
    <w:rsid w:val="001564A6"/>
    <w:rsid w:val="0015799D"/>
    <w:rsid w:val="00167462"/>
    <w:rsid w:val="00167C9B"/>
    <w:rsid w:val="0017270B"/>
    <w:rsid w:val="00174CC3"/>
    <w:rsid w:val="00185C0C"/>
    <w:rsid w:val="00187D34"/>
    <w:rsid w:val="00191FC0"/>
    <w:rsid w:val="00194524"/>
    <w:rsid w:val="00195EC0"/>
    <w:rsid w:val="001A030A"/>
    <w:rsid w:val="001A091B"/>
    <w:rsid w:val="001A3190"/>
    <w:rsid w:val="001A4258"/>
    <w:rsid w:val="001B0434"/>
    <w:rsid w:val="001B2A09"/>
    <w:rsid w:val="001B396B"/>
    <w:rsid w:val="001B4416"/>
    <w:rsid w:val="001C2476"/>
    <w:rsid w:val="001D0D22"/>
    <w:rsid w:val="001D178A"/>
    <w:rsid w:val="001D17A4"/>
    <w:rsid w:val="001D19DA"/>
    <w:rsid w:val="001D55A1"/>
    <w:rsid w:val="001D7E1E"/>
    <w:rsid w:val="001E0C56"/>
    <w:rsid w:val="001E2604"/>
    <w:rsid w:val="001E3599"/>
    <w:rsid w:val="001E65BF"/>
    <w:rsid w:val="001F247B"/>
    <w:rsid w:val="001F3087"/>
    <w:rsid w:val="00201C9F"/>
    <w:rsid w:val="00201E0A"/>
    <w:rsid w:val="002100FA"/>
    <w:rsid w:val="00211498"/>
    <w:rsid w:val="002114F6"/>
    <w:rsid w:val="00217665"/>
    <w:rsid w:val="00233129"/>
    <w:rsid w:val="00233EF8"/>
    <w:rsid w:val="00235C9E"/>
    <w:rsid w:val="00236430"/>
    <w:rsid w:val="002371BA"/>
    <w:rsid w:val="00241206"/>
    <w:rsid w:val="00242A10"/>
    <w:rsid w:val="00242D30"/>
    <w:rsid w:val="00243267"/>
    <w:rsid w:val="00246118"/>
    <w:rsid w:val="00246A4F"/>
    <w:rsid w:val="0026013D"/>
    <w:rsid w:val="002604E3"/>
    <w:rsid w:val="00261715"/>
    <w:rsid w:val="0026244A"/>
    <w:rsid w:val="00262710"/>
    <w:rsid w:val="0026352C"/>
    <w:rsid w:val="0026434E"/>
    <w:rsid w:val="002660E9"/>
    <w:rsid w:val="002667C9"/>
    <w:rsid w:val="002735A4"/>
    <w:rsid w:val="00273846"/>
    <w:rsid w:val="002776B1"/>
    <w:rsid w:val="00277BBE"/>
    <w:rsid w:val="00280DCE"/>
    <w:rsid w:val="00282272"/>
    <w:rsid w:val="00285EED"/>
    <w:rsid w:val="00286953"/>
    <w:rsid w:val="00287996"/>
    <w:rsid w:val="00290E8F"/>
    <w:rsid w:val="00293D63"/>
    <w:rsid w:val="00295107"/>
    <w:rsid w:val="00295499"/>
    <w:rsid w:val="00297752"/>
    <w:rsid w:val="002A11C1"/>
    <w:rsid w:val="002A2AE8"/>
    <w:rsid w:val="002A304F"/>
    <w:rsid w:val="002A3069"/>
    <w:rsid w:val="002A5285"/>
    <w:rsid w:val="002A6AAB"/>
    <w:rsid w:val="002B6F25"/>
    <w:rsid w:val="002C1EC9"/>
    <w:rsid w:val="002C7418"/>
    <w:rsid w:val="002C74AD"/>
    <w:rsid w:val="002D19A8"/>
    <w:rsid w:val="002D1C2E"/>
    <w:rsid w:val="002D4EB1"/>
    <w:rsid w:val="002D7AF3"/>
    <w:rsid w:val="002E740E"/>
    <w:rsid w:val="002F02C6"/>
    <w:rsid w:val="00301C0A"/>
    <w:rsid w:val="00302C7B"/>
    <w:rsid w:val="00302D9D"/>
    <w:rsid w:val="00303EDE"/>
    <w:rsid w:val="00304D57"/>
    <w:rsid w:val="00306CD1"/>
    <w:rsid w:val="00310274"/>
    <w:rsid w:val="00310480"/>
    <w:rsid w:val="00316820"/>
    <w:rsid w:val="003227A2"/>
    <w:rsid w:val="00324DF8"/>
    <w:rsid w:val="00326D33"/>
    <w:rsid w:val="0032714E"/>
    <w:rsid w:val="00331058"/>
    <w:rsid w:val="00331BA7"/>
    <w:rsid w:val="003350D4"/>
    <w:rsid w:val="00340047"/>
    <w:rsid w:val="00340618"/>
    <w:rsid w:val="00341E95"/>
    <w:rsid w:val="003433CB"/>
    <w:rsid w:val="0035099E"/>
    <w:rsid w:val="003525CF"/>
    <w:rsid w:val="00352CB7"/>
    <w:rsid w:val="00353215"/>
    <w:rsid w:val="003532AA"/>
    <w:rsid w:val="0035690A"/>
    <w:rsid w:val="00356F0A"/>
    <w:rsid w:val="003618DD"/>
    <w:rsid w:val="00365D44"/>
    <w:rsid w:val="0036607C"/>
    <w:rsid w:val="00370CEC"/>
    <w:rsid w:val="00372139"/>
    <w:rsid w:val="00373853"/>
    <w:rsid w:val="00380CAA"/>
    <w:rsid w:val="0038315E"/>
    <w:rsid w:val="003861E8"/>
    <w:rsid w:val="003869CC"/>
    <w:rsid w:val="003873E8"/>
    <w:rsid w:val="00387D54"/>
    <w:rsid w:val="00394D9E"/>
    <w:rsid w:val="00396996"/>
    <w:rsid w:val="003A0BF5"/>
    <w:rsid w:val="003A193B"/>
    <w:rsid w:val="003A5290"/>
    <w:rsid w:val="003A6D99"/>
    <w:rsid w:val="003B16F3"/>
    <w:rsid w:val="003B1CB5"/>
    <w:rsid w:val="003B1D93"/>
    <w:rsid w:val="003B21F1"/>
    <w:rsid w:val="003B2A88"/>
    <w:rsid w:val="003B3C39"/>
    <w:rsid w:val="003B4390"/>
    <w:rsid w:val="003B4A16"/>
    <w:rsid w:val="003B4BA5"/>
    <w:rsid w:val="003B5A9B"/>
    <w:rsid w:val="003C1C46"/>
    <w:rsid w:val="003C5E8E"/>
    <w:rsid w:val="003C77F2"/>
    <w:rsid w:val="003D1A4E"/>
    <w:rsid w:val="003D2374"/>
    <w:rsid w:val="003D31EE"/>
    <w:rsid w:val="003E0E23"/>
    <w:rsid w:val="003E2185"/>
    <w:rsid w:val="003E2696"/>
    <w:rsid w:val="003E327F"/>
    <w:rsid w:val="003E3A44"/>
    <w:rsid w:val="003E411D"/>
    <w:rsid w:val="003E6654"/>
    <w:rsid w:val="003F0345"/>
    <w:rsid w:val="003F16EC"/>
    <w:rsid w:val="003F1F9B"/>
    <w:rsid w:val="003F5D4D"/>
    <w:rsid w:val="003F647B"/>
    <w:rsid w:val="003F7F16"/>
    <w:rsid w:val="00401872"/>
    <w:rsid w:val="00405015"/>
    <w:rsid w:val="0040580A"/>
    <w:rsid w:val="00411B32"/>
    <w:rsid w:val="00412ADC"/>
    <w:rsid w:val="00416F71"/>
    <w:rsid w:val="00416FC6"/>
    <w:rsid w:val="00417AB7"/>
    <w:rsid w:val="00421820"/>
    <w:rsid w:val="00421D98"/>
    <w:rsid w:val="00424E7F"/>
    <w:rsid w:val="00426C77"/>
    <w:rsid w:val="00430B5B"/>
    <w:rsid w:val="00431628"/>
    <w:rsid w:val="00431C2A"/>
    <w:rsid w:val="00433CBA"/>
    <w:rsid w:val="004369D3"/>
    <w:rsid w:val="00437086"/>
    <w:rsid w:val="0043709E"/>
    <w:rsid w:val="00440EEF"/>
    <w:rsid w:val="00442B31"/>
    <w:rsid w:val="00444D80"/>
    <w:rsid w:val="00446763"/>
    <w:rsid w:val="00452088"/>
    <w:rsid w:val="00456567"/>
    <w:rsid w:val="00460531"/>
    <w:rsid w:val="004606A1"/>
    <w:rsid w:val="00461D61"/>
    <w:rsid w:val="00461ED3"/>
    <w:rsid w:val="004632E2"/>
    <w:rsid w:val="00464E30"/>
    <w:rsid w:val="004664D6"/>
    <w:rsid w:val="00472534"/>
    <w:rsid w:val="00473614"/>
    <w:rsid w:val="00474648"/>
    <w:rsid w:val="00477C9D"/>
    <w:rsid w:val="00481662"/>
    <w:rsid w:val="004872C3"/>
    <w:rsid w:val="004901FF"/>
    <w:rsid w:val="00496915"/>
    <w:rsid w:val="004A1B89"/>
    <w:rsid w:val="004A2C63"/>
    <w:rsid w:val="004A4206"/>
    <w:rsid w:val="004A52D2"/>
    <w:rsid w:val="004A7C07"/>
    <w:rsid w:val="004B0D81"/>
    <w:rsid w:val="004B67BA"/>
    <w:rsid w:val="004B7B80"/>
    <w:rsid w:val="004C24F2"/>
    <w:rsid w:val="004C3FCC"/>
    <w:rsid w:val="004C786E"/>
    <w:rsid w:val="004D4296"/>
    <w:rsid w:val="004D757B"/>
    <w:rsid w:val="004E5FEA"/>
    <w:rsid w:val="004E6B46"/>
    <w:rsid w:val="004E730E"/>
    <w:rsid w:val="004F22A2"/>
    <w:rsid w:val="004F508C"/>
    <w:rsid w:val="004F5E87"/>
    <w:rsid w:val="00503E20"/>
    <w:rsid w:val="00505CAE"/>
    <w:rsid w:val="00507A22"/>
    <w:rsid w:val="00507CF7"/>
    <w:rsid w:val="00511BCA"/>
    <w:rsid w:val="00512278"/>
    <w:rsid w:val="005141F5"/>
    <w:rsid w:val="00520EC8"/>
    <w:rsid w:val="00521051"/>
    <w:rsid w:val="005215BC"/>
    <w:rsid w:val="0052532E"/>
    <w:rsid w:val="005308F6"/>
    <w:rsid w:val="00531A3A"/>
    <w:rsid w:val="0053288E"/>
    <w:rsid w:val="0053470F"/>
    <w:rsid w:val="005348A2"/>
    <w:rsid w:val="005362A5"/>
    <w:rsid w:val="00542B6F"/>
    <w:rsid w:val="005453E2"/>
    <w:rsid w:val="00545BE2"/>
    <w:rsid w:val="0054625E"/>
    <w:rsid w:val="00546E5D"/>
    <w:rsid w:val="00547348"/>
    <w:rsid w:val="00550109"/>
    <w:rsid w:val="005504D8"/>
    <w:rsid w:val="00550DA2"/>
    <w:rsid w:val="00553F3D"/>
    <w:rsid w:val="0055768E"/>
    <w:rsid w:val="005603DD"/>
    <w:rsid w:val="00563D48"/>
    <w:rsid w:val="0056611D"/>
    <w:rsid w:val="005702FF"/>
    <w:rsid w:val="005741A1"/>
    <w:rsid w:val="00574366"/>
    <w:rsid w:val="00582145"/>
    <w:rsid w:val="00585CAC"/>
    <w:rsid w:val="0059177B"/>
    <w:rsid w:val="005935F7"/>
    <w:rsid w:val="00596E7A"/>
    <w:rsid w:val="00597938"/>
    <w:rsid w:val="005A08DB"/>
    <w:rsid w:val="005A0AB1"/>
    <w:rsid w:val="005B209A"/>
    <w:rsid w:val="005B5F4F"/>
    <w:rsid w:val="005C4490"/>
    <w:rsid w:val="005C5760"/>
    <w:rsid w:val="005D1AFC"/>
    <w:rsid w:val="005D1C98"/>
    <w:rsid w:val="005E1226"/>
    <w:rsid w:val="005E475A"/>
    <w:rsid w:val="005E499D"/>
    <w:rsid w:val="005E4DDA"/>
    <w:rsid w:val="005F0A4E"/>
    <w:rsid w:val="005F3DE6"/>
    <w:rsid w:val="005F7CB7"/>
    <w:rsid w:val="00605F27"/>
    <w:rsid w:val="00611621"/>
    <w:rsid w:val="006121F5"/>
    <w:rsid w:val="0061325A"/>
    <w:rsid w:val="00616F60"/>
    <w:rsid w:val="006170AF"/>
    <w:rsid w:val="00620DE8"/>
    <w:rsid w:val="006228E3"/>
    <w:rsid w:val="00624C28"/>
    <w:rsid w:val="006252DF"/>
    <w:rsid w:val="00625C78"/>
    <w:rsid w:val="00625E68"/>
    <w:rsid w:val="00627211"/>
    <w:rsid w:val="00640A04"/>
    <w:rsid w:val="00640A20"/>
    <w:rsid w:val="00642E9E"/>
    <w:rsid w:val="00642F8C"/>
    <w:rsid w:val="006433EB"/>
    <w:rsid w:val="006474DA"/>
    <w:rsid w:val="00655F52"/>
    <w:rsid w:val="0066073C"/>
    <w:rsid w:val="00661BA2"/>
    <w:rsid w:val="00662AE5"/>
    <w:rsid w:val="006644E4"/>
    <w:rsid w:val="00665C83"/>
    <w:rsid w:val="00665E08"/>
    <w:rsid w:val="00666D5E"/>
    <w:rsid w:val="006714DC"/>
    <w:rsid w:val="00675222"/>
    <w:rsid w:val="0068281E"/>
    <w:rsid w:val="0068464C"/>
    <w:rsid w:val="00685B20"/>
    <w:rsid w:val="00686894"/>
    <w:rsid w:val="006907D6"/>
    <w:rsid w:val="006916E4"/>
    <w:rsid w:val="00691FF6"/>
    <w:rsid w:val="00692FF7"/>
    <w:rsid w:val="006A0342"/>
    <w:rsid w:val="006A132D"/>
    <w:rsid w:val="006A7C93"/>
    <w:rsid w:val="006C0E14"/>
    <w:rsid w:val="006C14FE"/>
    <w:rsid w:val="006C63D0"/>
    <w:rsid w:val="006C6918"/>
    <w:rsid w:val="006D11C7"/>
    <w:rsid w:val="006D1F7A"/>
    <w:rsid w:val="006D2047"/>
    <w:rsid w:val="006D37C3"/>
    <w:rsid w:val="006D5D0E"/>
    <w:rsid w:val="006E5A0B"/>
    <w:rsid w:val="006E631E"/>
    <w:rsid w:val="006E792A"/>
    <w:rsid w:val="006F1B1F"/>
    <w:rsid w:val="007046FB"/>
    <w:rsid w:val="00704A22"/>
    <w:rsid w:val="00713EDD"/>
    <w:rsid w:val="00713FE1"/>
    <w:rsid w:val="00714411"/>
    <w:rsid w:val="00722963"/>
    <w:rsid w:val="0072407C"/>
    <w:rsid w:val="00725BD2"/>
    <w:rsid w:val="0073336A"/>
    <w:rsid w:val="00734C82"/>
    <w:rsid w:val="0073571D"/>
    <w:rsid w:val="00736B2D"/>
    <w:rsid w:val="007457AC"/>
    <w:rsid w:val="00747EA1"/>
    <w:rsid w:val="0075353F"/>
    <w:rsid w:val="0075790A"/>
    <w:rsid w:val="00757C36"/>
    <w:rsid w:val="00760958"/>
    <w:rsid w:val="00760F04"/>
    <w:rsid w:val="00767F73"/>
    <w:rsid w:val="00770991"/>
    <w:rsid w:val="007752C2"/>
    <w:rsid w:val="007774CF"/>
    <w:rsid w:val="00777AF5"/>
    <w:rsid w:val="00780F34"/>
    <w:rsid w:val="0078122B"/>
    <w:rsid w:val="007864FF"/>
    <w:rsid w:val="00787092"/>
    <w:rsid w:val="0078798E"/>
    <w:rsid w:val="00794CF5"/>
    <w:rsid w:val="00794F0C"/>
    <w:rsid w:val="00795CD4"/>
    <w:rsid w:val="00797161"/>
    <w:rsid w:val="007A1D42"/>
    <w:rsid w:val="007A3EF8"/>
    <w:rsid w:val="007A4842"/>
    <w:rsid w:val="007B29B7"/>
    <w:rsid w:val="007B4EFE"/>
    <w:rsid w:val="007C28E9"/>
    <w:rsid w:val="007C3D0C"/>
    <w:rsid w:val="007C425B"/>
    <w:rsid w:val="007C5124"/>
    <w:rsid w:val="007C52CB"/>
    <w:rsid w:val="007C725E"/>
    <w:rsid w:val="007D4F33"/>
    <w:rsid w:val="007D5B09"/>
    <w:rsid w:val="007D69DF"/>
    <w:rsid w:val="007E0E64"/>
    <w:rsid w:val="007E2D81"/>
    <w:rsid w:val="007E3B34"/>
    <w:rsid w:val="007E64E4"/>
    <w:rsid w:val="007F0D0A"/>
    <w:rsid w:val="007F105F"/>
    <w:rsid w:val="007F15CA"/>
    <w:rsid w:val="007F2BA5"/>
    <w:rsid w:val="007F3F72"/>
    <w:rsid w:val="007F441B"/>
    <w:rsid w:val="007F5B7A"/>
    <w:rsid w:val="00800E7E"/>
    <w:rsid w:val="00803C56"/>
    <w:rsid w:val="00806D8E"/>
    <w:rsid w:val="00812028"/>
    <w:rsid w:val="008121B5"/>
    <w:rsid w:val="00812646"/>
    <w:rsid w:val="0081386B"/>
    <w:rsid w:val="00820D74"/>
    <w:rsid w:val="00822329"/>
    <w:rsid w:val="00823A2D"/>
    <w:rsid w:val="00823D77"/>
    <w:rsid w:val="00825B0D"/>
    <w:rsid w:val="00826458"/>
    <w:rsid w:val="00826E07"/>
    <w:rsid w:val="008308CD"/>
    <w:rsid w:val="00833119"/>
    <w:rsid w:val="00833BDC"/>
    <w:rsid w:val="00836F8B"/>
    <w:rsid w:val="00837949"/>
    <w:rsid w:val="00837DB0"/>
    <w:rsid w:val="00840E6F"/>
    <w:rsid w:val="00841DFC"/>
    <w:rsid w:val="00842319"/>
    <w:rsid w:val="00842A82"/>
    <w:rsid w:val="00842CFD"/>
    <w:rsid w:val="00844C69"/>
    <w:rsid w:val="00845A97"/>
    <w:rsid w:val="00851759"/>
    <w:rsid w:val="0085179E"/>
    <w:rsid w:val="00854B19"/>
    <w:rsid w:val="008564C7"/>
    <w:rsid w:val="00856C35"/>
    <w:rsid w:val="0085740D"/>
    <w:rsid w:val="0085765B"/>
    <w:rsid w:val="0086167C"/>
    <w:rsid w:val="008638AC"/>
    <w:rsid w:val="00866D8E"/>
    <w:rsid w:val="00867351"/>
    <w:rsid w:val="008721C2"/>
    <w:rsid w:val="008722DA"/>
    <w:rsid w:val="00874486"/>
    <w:rsid w:val="00875BD7"/>
    <w:rsid w:val="00876B5F"/>
    <w:rsid w:val="00880C60"/>
    <w:rsid w:val="008814EE"/>
    <w:rsid w:val="008836F1"/>
    <w:rsid w:val="00883753"/>
    <w:rsid w:val="0088504B"/>
    <w:rsid w:val="00887A20"/>
    <w:rsid w:val="00887AC7"/>
    <w:rsid w:val="008947E7"/>
    <w:rsid w:val="00894D41"/>
    <w:rsid w:val="008964B0"/>
    <w:rsid w:val="008A29D2"/>
    <w:rsid w:val="008A6F87"/>
    <w:rsid w:val="008A7448"/>
    <w:rsid w:val="008B47F9"/>
    <w:rsid w:val="008B52ED"/>
    <w:rsid w:val="008B6FED"/>
    <w:rsid w:val="008C2ABB"/>
    <w:rsid w:val="008C2EFB"/>
    <w:rsid w:val="008C437A"/>
    <w:rsid w:val="008C699A"/>
    <w:rsid w:val="008C6BB0"/>
    <w:rsid w:val="008D0407"/>
    <w:rsid w:val="008D13F9"/>
    <w:rsid w:val="008E22FE"/>
    <w:rsid w:val="008E60F9"/>
    <w:rsid w:val="008F2167"/>
    <w:rsid w:val="008F5737"/>
    <w:rsid w:val="008F5ED1"/>
    <w:rsid w:val="00901375"/>
    <w:rsid w:val="00901EDC"/>
    <w:rsid w:val="009034DC"/>
    <w:rsid w:val="0090766A"/>
    <w:rsid w:val="00912909"/>
    <w:rsid w:val="00916D16"/>
    <w:rsid w:val="0092120A"/>
    <w:rsid w:val="00921DBF"/>
    <w:rsid w:val="0092210B"/>
    <w:rsid w:val="009238F8"/>
    <w:rsid w:val="00923F8B"/>
    <w:rsid w:val="00925707"/>
    <w:rsid w:val="009258FA"/>
    <w:rsid w:val="00926BF0"/>
    <w:rsid w:val="00926F94"/>
    <w:rsid w:val="00933B2D"/>
    <w:rsid w:val="00935382"/>
    <w:rsid w:val="0095146F"/>
    <w:rsid w:val="00952BFD"/>
    <w:rsid w:val="009530B2"/>
    <w:rsid w:val="0095419B"/>
    <w:rsid w:val="00960217"/>
    <w:rsid w:val="00960BCB"/>
    <w:rsid w:val="009611A8"/>
    <w:rsid w:val="0096386C"/>
    <w:rsid w:val="009646FA"/>
    <w:rsid w:val="00965EF7"/>
    <w:rsid w:val="00966EFE"/>
    <w:rsid w:val="00967021"/>
    <w:rsid w:val="00967890"/>
    <w:rsid w:val="00970AA5"/>
    <w:rsid w:val="009729A8"/>
    <w:rsid w:val="00973153"/>
    <w:rsid w:val="0098027D"/>
    <w:rsid w:val="00983691"/>
    <w:rsid w:val="00984706"/>
    <w:rsid w:val="00990769"/>
    <w:rsid w:val="00992544"/>
    <w:rsid w:val="00993E10"/>
    <w:rsid w:val="009957E0"/>
    <w:rsid w:val="009A22C5"/>
    <w:rsid w:val="009A370F"/>
    <w:rsid w:val="009A61D2"/>
    <w:rsid w:val="009A6442"/>
    <w:rsid w:val="009A77A7"/>
    <w:rsid w:val="009B1630"/>
    <w:rsid w:val="009B3E1A"/>
    <w:rsid w:val="009B5651"/>
    <w:rsid w:val="009B7529"/>
    <w:rsid w:val="009C6C18"/>
    <w:rsid w:val="009C7375"/>
    <w:rsid w:val="009D192A"/>
    <w:rsid w:val="009D3F89"/>
    <w:rsid w:val="009D4500"/>
    <w:rsid w:val="009D606F"/>
    <w:rsid w:val="009D6911"/>
    <w:rsid w:val="009E1F03"/>
    <w:rsid w:val="009E3B6B"/>
    <w:rsid w:val="009E6552"/>
    <w:rsid w:val="009F10FB"/>
    <w:rsid w:val="009F36A4"/>
    <w:rsid w:val="009F4DC0"/>
    <w:rsid w:val="009F53DA"/>
    <w:rsid w:val="009F6995"/>
    <w:rsid w:val="00A02DAF"/>
    <w:rsid w:val="00A03F76"/>
    <w:rsid w:val="00A046ED"/>
    <w:rsid w:val="00A049E9"/>
    <w:rsid w:val="00A057F2"/>
    <w:rsid w:val="00A10BA2"/>
    <w:rsid w:val="00A117F5"/>
    <w:rsid w:val="00A121B9"/>
    <w:rsid w:val="00A14A36"/>
    <w:rsid w:val="00A162A3"/>
    <w:rsid w:val="00A168A5"/>
    <w:rsid w:val="00A1751C"/>
    <w:rsid w:val="00A17B14"/>
    <w:rsid w:val="00A21A81"/>
    <w:rsid w:val="00A21B83"/>
    <w:rsid w:val="00A23B0B"/>
    <w:rsid w:val="00A2475A"/>
    <w:rsid w:val="00A2629D"/>
    <w:rsid w:val="00A32807"/>
    <w:rsid w:val="00A338E0"/>
    <w:rsid w:val="00A3460C"/>
    <w:rsid w:val="00A35632"/>
    <w:rsid w:val="00A37D18"/>
    <w:rsid w:val="00A4518F"/>
    <w:rsid w:val="00A45559"/>
    <w:rsid w:val="00A45C0D"/>
    <w:rsid w:val="00A46FA3"/>
    <w:rsid w:val="00A500C0"/>
    <w:rsid w:val="00A50456"/>
    <w:rsid w:val="00A5045A"/>
    <w:rsid w:val="00A56069"/>
    <w:rsid w:val="00A6499B"/>
    <w:rsid w:val="00A72AEB"/>
    <w:rsid w:val="00A73932"/>
    <w:rsid w:val="00A74EDE"/>
    <w:rsid w:val="00A80753"/>
    <w:rsid w:val="00A80807"/>
    <w:rsid w:val="00A839BE"/>
    <w:rsid w:val="00A872A4"/>
    <w:rsid w:val="00A9331E"/>
    <w:rsid w:val="00A9396D"/>
    <w:rsid w:val="00A950F1"/>
    <w:rsid w:val="00A9563D"/>
    <w:rsid w:val="00AA1210"/>
    <w:rsid w:val="00AA39EE"/>
    <w:rsid w:val="00AA4A2E"/>
    <w:rsid w:val="00AA4F66"/>
    <w:rsid w:val="00AA5437"/>
    <w:rsid w:val="00AA6E59"/>
    <w:rsid w:val="00AA79AC"/>
    <w:rsid w:val="00AB0FE9"/>
    <w:rsid w:val="00AB1438"/>
    <w:rsid w:val="00AB3838"/>
    <w:rsid w:val="00AB42BC"/>
    <w:rsid w:val="00AB5023"/>
    <w:rsid w:val="00AC49D3"/>
    <w:rsid w:val="00AC69D3"/>
    <w:rsid w:val="00AC73C3"/>
    <w:rsid w:val="00AD0211"/>
    <w:rsid w:val="00AD523F"/>
    <w:rsid w:val="00AE044A"/>
    <w:rsid w:val="00AE0A1C"/>
    <w:rsid w:val="00AE0F85"/>
    <w:rsid w:val="00AE4BE3"/>
    <w:rsid w:val="00AE5327"/>
    <w:rsid w:val="00AE6AAA"/>
    <w:rsid w:val="00AE7863"/>
    <w:rsid w:val="00AF38BC"/>
    <w:rsid w:val="00B02093"/>
    <w:rsid w:val="00B02155"/>
    <w:rsid w:val="00B022A9"/>
    <w:rsid w:val="00B03B89"/>
    <w:rsid w:val="00B05AC0"/>
    <w:rsid w:val="00B11FEB"/>
    <w:rsid w:val="00B125C7"/>
    <w:rsid w:val="00B1457E"/>
    <w:rsid w:val="00B20465"/>
    <w:rsid w:val="00B20D8E"/>
    <w:rsid w:val="00B22FEB"/>
    <w:rsid w:val="00B2641B"/>
    <w:rsid w:val="00B326E1"/>
    <w:rsid w:val="00B367C6"/>
    <w:rsid w:val="00B37F20"/>
    <w:rsid w:val="00B40AAD"/>
    <w:rsid w:val="00B5192C"/>
    <w:rsid w:val="00B5519D"/>
    <w:rsid w:val="00B557FF"/>
    <w:rsid w:val="00B57D10"/>
    <w:rsid w:val="00B6104C"/>
    <w:rsid w:val="00B629C6"/>
    <w:rsid w:val="00B71970"/>
    <w:rsid w:val="00B83699"/>
    <w:rsid w:val="00B837E9"/>
    <w:rsid w:val="00B845F4"/>
    <w:rsid w:val="00B8772C"/>
    <w:rsid w:val="00B87C99"/>
    <w:rsid w:val="00B91229"/>
    <w:rsid w:val="00B95534"/>
    <w:rsid w:val="00B9584A"/>
    <w:rsid w:val="00B96DCA"/>
    <w:rsid w:val="00BA2958"/>
    <w:rsid w:val="00BA2F66"/>
    <w:rsid w:val="00BB0D34"/>
    <w:rsid w:val="00BB5F7E"/>
    <w:rsid w:val="00BC0462"/>
    <w:rsid w:val="00BC1F1C"/>
    <w:rsid w:val="00BC20EA"/>
    <w:rsid w:val="00BC515C"/>
    <w:rsid w:val="00BD0ACA"/>
    <w:rsid w:val="00BD0E60"/>
    <w:rsid w:val="00BD1D42"/>
    <w:rsid w:val="00BE118B"/>
    <w:rsid w:val="00BE11B1"/>
    <w:rsid w:val="00BE2283"/>
    <w:rsid w:val="00BE32C8"/>
    <w:rsid w:val="00BE5A00"/>
    <w:rsid w:val="00BF0C57"/>
    <w:rsid w:val="00BF4DB6"/>
    <w:rsid w:val="00BF6A8D"/>
    <w:rsid w:val="00BF7247"/>
    <w:rsid w:val="00C00401"/>
    <w:rsid w:val="00C0431F"/>
    <w:rsid w:val="00C05B2D"/>
    <w:rsid w:val="00C112D6"/>
    <w:rsid w:val="00C128EA"/>
    <w:rsid w:val="00C129CF"/>
    <w:rsid w:val="00C13A5B"/>
    <w:rsid w:val="00C143AE"/>
    <w:rsid w:val="00C14A33"/>
    <w:rsid w:val="00C17B90"/>
    <w:rsid w:val="00C2573A"/>
    <w:rsid w:val="00C264E2"/>
    <w:rsid w:val="00C26521"/>
    <w:rsid w:val="00C27A28"/>
    <w:rsid w:val="00C31526"/>
    <w:rsid w:val="00C32571"/>
    <w:rsid w:val="00C33B3D"/>
    <w:rsid w:val="00C34162"/>
    <w:rsid w:val="00C34513"/>
    <w:rsid w:val="00C42475"/>
    <w:rsid w:val="00C424F0"/>
    <w:rsid w:val="00C4264B"/>
    <w:rsid w:val="00C42E2B"/>
    <w:rsid w:val="00C46A7E"/>
    <w:rsid w:val="00C53047"/>
    <w:rsid w:val="00C548AF"/>
    <w:rsid w:val="00C55417"/>
    <w:rsid w:val="00C60A8C"/>
    <w:rsid w:val="00C63531"/>
    <w:rsid w:val="00C63CE4"/>
    <w:rsid w:val="00C653BE"/>
    <w:rsid w:val="00C71FBF"/>
    <w:rsid w:val="00C72501"/>
    <w:rsid w:val="00C74427"/>
    <w:rsid w:val="00C753A4"/>
    <w:rsid w:val="00C8378C"/>
    <w:rsid w:val="00C8383C"/>
    <w:rsid w:val="00C84FF6"/>
    <w:rsid w:val="00C87C89"/>
    <w:rsid w:val="00C90763"/>
    <w:rsid w:val="00CA122C"/>
    <w:rsid w:val="00CA16A7"/>
    <w:rsid w:val="00CA2D4E"/>
    <w:rsid w:val="00CA3303"/>
    <w:rsid w:val="00CA51C8"/>
    <w:rsid w:val="00CB2C3F"/>
    <w:rsid w:val="00CB4C5A"/>
    <w:rsid w:val="00CB4F9D"/>
    <w:rsid w:val="00CB505A"/>
    <w:rsid w:val="00CC27C7"/>
    <w:rsid w:val="00CC7D03"/>
    <w:rsid w:val="00CD3E6D"/>
    <w:rsid w:val="00CE2EFD"/>
    <w:rsid w:val="00CE7B53"/>
    <w:rsid w:val="00CF052D"/>
    <w:rsid w:val="00CF1D77"/>
    <w:rsid w:val="00CF247B"/>
    <w:rsid w:val="00CF26CF"/>
    <w:rsid w:val="00CF3819"/>
    <w:rsid w:val="00CF4371"/>
    <w:rsid w:val="00CF77DC"/>
    <w:rsid w:val="00CF788C"/>
    <w:rsid w:val="00CF788F"/>
    <w:rsid w:val="00D026FD"/>
    <w:rsid w:val="00D05B3A"/>
    <w:rsid w:val="00D063BF"/>
    <w:rsid w:val="00D11069"/>
    <w:rsid w:val="00D14BF0"/>
    <w:rsid w:val="00D15D91"/>
    <w:rsid w:val="00D22622"/>
    <w:rsid w:val="00D245B9"/>
    <w:rsid w:val="00D2496E"/>
    <w:rsid w:val="00D270D0"/>
    <w:rsid w:val="00D27373"/>
    <w:rsid w:val="00D3104F"/>
    <w:rsid w:val="00D35459"/>
    <w:rsid w:val="00D413D7"/>
    <w:rsid w:val="00D45CE3"/>
    <w:rsid w:val="00D520E6"/>
    <w:rsid w:val="00D5255F"/>
    <w:rsid w:val="00D52A85"/>
    <w:rsid w:val="00D5409D"/>
    <w:rsid w:val="00D56BBF"/>
    <w:rsid w:val="00D62AE5"/>
    <w:rsid w:val="00D64AAA"/>
    <w:rsid w:val="00D64C74"/>
    <w:rsid w:val="00D65528"/>
    <w:rsid w:val="00D657C7"/>
    <w:rsid w:val="00D66ECB"/>
    <w:rsid w:val="00D72B28"/>
    <w:rsid w:val="00D7399E"/>
    <w:rsid w:val="00D74871"/>
    <w:rsid w:val="00D749CF"/>
    <w:rsid w:val="00D75165"/>
    <w:rsid w:val="00D75CF6"/>
    <w:rsid w:val="00D76C65"/>
    <w:rsid w:val="00D80C33"/>
    <w:rsid w:val="00D8169A"/>
    <w:rsid w:val="00D821C1"/>
    <w:rsid w:val="00D863B0"/>
    <w:rsid w:val="00D87E2B"/>
    <w:rsid w:val="00D903BC"/>
    <w:rsid w:val="00DA0A7E"/>
    <w:rsid w:val="00DA0F9F"/>
    <w:rsid w:val="00DA3125"/>
    <w:rsid w:val="00DA40F4"/>
    <w:rsid w:val="00DA4331"/>
    <w:rsid w:val="00DB554C"/>
    <w:rsid w:val="00DB6EB4"/>
    <w:rsid w:val="00DC005E"/>
    <w:rsid w:val="00DC0363"/>
    <w:rsid w:val="00DC0710"/>
    <w:rsid w:val="00DC213F"/>
    <w:rsid w:val="00DC36A3"/>
    <w:rsid w:val="00DC49FA"/>
    <w:rsid w:val="00DD106A"/>
    <w:rsid w:val="00DD654F"/>
    <w:rsid w:val="00DE1F3B"/>
    <w:rsid w:val="00DE2E1C"/>
    <w:rsid w:val="00DE37C0"/>
    <w:rsid w:val="00DF1B42"/>
    <w:rsid w:val="00DF67B6"/>
    <w:rsid w:val="00E00272"/>
    <w:rsid w:val="00E009F8"/>
    <w:rsid w:val="00E023C9"/>
    <w:rsid w:val="00E06F9E"/>
    <w:rsid w:val="00E10305"/>
    <w:rsid w:val="00E10769"/>
    <w:rsid w:val="00E11D53"/>
    <w:rsid w:val="00E13CF0"/>
    <w:rsid w:val="00E1695D"/>
    <w:rsid w:val="00E23A5F"/>
    <w:rsid w:val="00E24C7D"/>
    <w:rsid w:val="00E275F3"/>
    <w:rsid w:val="00E27F0C"/>
    <w:rsid w:val="00E315EE"/>
    <w:rsid w:val="00E330FA"/>
    <w:rsid w:val="00E33270"/>
    <w:rsid w:val="00E332AD"/>
    <w:rsid w:val="00E3486C"/>
    <w:rsid w:val="00E34B76"/>
    <w:rsid w:val="00E437B9"/>
    <w:rsid w:val="00E43A3C"/>
    <w:rsid w:val="00E43EC1"/>
    <w:rsid w:val="00E44ABE"/>
    <w:rsid w:val="00E51CDD"/>
    <w:rsid w:val="00E5328C"/>
    <w:rsid w:val="00E61E28"/>
    <w:rsid w:val="00E74679"/>
    <w:rsid w:val="00E76C12"/>
    <w:rsid w:val="00E81C76"/>
    <w:rsid w:val="00E827D9"/>
    <w:rsid w:val="00E84D3E"/>
    <w:rsid w:val="00E877B2"/>
    <w:rsid w:val="00E93651"/>
    <w:rsid w:val="00E942F7"/>
    <w:rsid w:val="00E97043"/>
    <w:rsid w:val="00EA37AB"/>
    <w:rsid w:val="00EA4A0B"/>
    <w:rsid w:val="00EA5B3D"/>
    <w:rsid w:val="00EA6C80"/>
    <w:rsid w:val="00EA75C4"/>
    <w:rsid w:val="00EB6517"/>
    <w:rsid w:val="00EC162F"/>
    <w:rsid w:val="00EC4048"/>
    <w:rsid w:val="00EC5AAB"/>
    <w:rsid w:val="00EC7BB9"/>
    <w:rsid w:val="00ED3104"/>
    <w:rsid w:val="00EE1ACD"/>
    <w:rsid w:val="00EE3330"/>
    <w:rsid w:val="00EE379C"/>
    <w:rsid w:val="00EE4D5F"/>
    <w:rsid w:val="00EE7E5A"/>
    <w:rsid w:val="00EF3F05"/>
    <w:rsid w:val="00F00360"/>
    <w:rsid w:val="00F00464"/>
    <w:rsid w:val="00F01B3D"/>
    <w:rsid w:val="00F1591C"/>
    <w:rsid w:val="00F17C4B"/>
    <w:rsid w:val="00F22F3E"/>
    <w:rsid w:val="00F240D7"/>
    <w:rsid w:val="00F25196"/>
    <w:rsid w:val="00F25FA1"/>
    <w:rsid w:val="00F30A56"/>
    <w:rsid w:val="00F30A73"/>
    <w:rsid w:val="00F3453F"/>
    <w:rsid w:val="00F36E2B"/>
    <w:rsid w:val="00F40EA7"/>
    <w:rsid w:val="00F43ACD"/>
    <w:rsid w:val="00F47A99"/>
    <w:rsid w:val="00F503FA"/>
    <w:rsid w:val="00F50711"/>
    <w:rsid w:val="00F536F8"/>
    <w:rsid w:val="00F54142"/>
    <w:rsid w:val="00F6007A"/>
    <w:rsid w:val="00F613A6"/>
    <w:rsid w:val="00F6183B"/>
    <w:rsid w:val="00F62DC0"/>
    <w:rsid w:val="00F634CB"/>
    <w:rsid w:val="00F6696F"/>
    <w:rsid w:val="00F67BF0"/>
    <w:rsid w:val="00F75288"/>
    <w:rsid w:val="00F75AFF"/>
    <w:rsid w:val="00F75CB0"/>
    <w:rsid w:val="00F77647"/>
    <w:rsid w:val="00F85C6C"/>
    <w:rsid w:val="00F871DC"/>
    <w:rsid w:val="00F87980"/>
    <w:rsid w:val="00F918E9"/>
    <w:rsid w:val="00F91E1C"/>
    <w:rsid w:val="00F93E16"/>
    <w:rsid w:val="00F942A8"/>
    <w:rsid w:val="00F95D27"/>
    <w:rsid w:val="00F96123"/>
    <w:rsid w:val="00FA097B"/>
    <w:rsid w:val="00FA2906"/>
    <w:rsid w:val="00FA4C4B"/>
    <w:rsid w:val="00FA579C"/>
    <w:rsid w:val="00FA608E"/>
    <w:rsid w:val="00FB0DB6"/>
    <w:rsid w:val="00FB1672"/>
    <w:rsid w:val="00FB3941"/>
    <w:rsid w:val="00FB4AB0"/>
    <w:rsid w:val="00FB5F22"/>
    <w:rsid w:val="00FB7953"/>
    <w:rsid w:val="00FC31CC"/>
    <w:rsid w:val="00FC5BF4"/>
    <w:rsid w:val="00FD0081"/>
    <w:rsid w:val="00FD0873"/>
    <w:rsid w:val="00FD2272"/>
    <w:rsid w:val="00FD6B63"/>
    <w:rsid w:val="00FD7009"/>
    <w:rsid w:val="00FE0A6A"/>
    <w:rsid w:val="00FE2193"/>
    <w:rsid w:val="00FF1D98"/>
    <w:rsid w:val="00FF3F44"/>
    <w:rsid w:val="00FF4E9E"/>
    <w:rsid w:val="00FF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4DF54"/>
  <w15:docId w15:val="{17CBC013-13DD-4A12-96E7-FB7D6860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imes New Roman"/>
        <w:lang w:val="it-IT" w:eastAsia="en-GB" w:bidi="ar-SA"/>
      </w:rPr>
    </w:rPrDefault>
    <w:pPrDefault/>
  </w:docDefaults>
  <w:latentStyles w:defLockedState="0" w:defUIPriority="99" w:defSemiHidden="0" w:defUnhideWhenUsed="0" w:defQFormat="0" w:count="377">
    <w:lsdException w:name="Normal" w:uiPriority="5" w:qFormat="1"/>
    <w:lsdException w:name="heading 1" w:uiPriority="2" w:qFormat="1"/>
    <w:lsdException w:name="heading 2" w:semiHidden="1" w:uiPriority="2" w:unhideWhenUsed="1" w:qFormat="1"/>
    <w:lsdException w:name="heading 3" w:semiHidden="1" w:uiPriority="2" w:unhideWhenUsed="1"/>
    <w:lsdException w:name="heading 4" w:semiHidden="1" w:unhideWhenUsed="1" w:qFormat="1"/>
    <w:lsdException w:name="heading 5" w:semiHidden="1" w:unhideWhenUsed="1" w:qFormat="1"/>
    <w:lsdException w:name="heading 6" w:semiHidden="1" w:uiPriority="34" w:unhideWhenUsed="1" w:qFormat="1"/>
    <w:lsdException w:name="heading 7" w:semiHidden="1" w:uiPriority="34" w:unhideWhenUsed="1" w:qFormat="1"/>
    <w:lsdException w:name="heading 8" w:semiHidden="1" w:uiPriority="34" w:unhideWhenUsed="1" w:qFormat="1"/>
    <w:lsdException w:name="heading 9" w:semiHidden="1" w:uiPriority="3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9" w:unhideWhenUsed="1"/>
    <w:lsdException w:name="footer" w:semiHidden="1" w:uiPriority="2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24"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uiPriority w:val="5"/>
    <w:qFormat/>
    <w:rsid w:val="0075790A"/>
    <w:pPr>
      <w:spacing w:line="260" w:lineRule="atLeast"/>
    </w:pPr>
    <w:rPr>
      <w:sz w:val="22"/>
      <w:szCs w:val="22"/>
    </w:rPr>
  </w:style>
  <w:style w:type="paragraph" w:styleId="Heading1">
    <w:name w:val="heading 1"/>
    <w:basedOn w:val="Normal"/>
    <w:next w:val="BodyText"/>
    <w:link w:val="Heading1Char"/>
    <w:uiPriority w:val="2"/>
    <w:qFormat/>
    <w:rsid w:val="0075790A"/>
    <w:pPr>
      <w:spacing w:before="240" w:after="120"/>
      <w:outlineLvl w:val="0"/>
    </w:pPr>
    <w:rPr>
      <w:b/>
    </w:rPr>
  </w:style>
  <w:style w:type="paragraph" w:styleId="Heading2">
    <w:name w:val="heading 2"/>
    <w:basedOn w:val="Heading1"/>
    <w:next w:val="BodyText"/>
    <w:link w:val="Heading2Char"/>
    <w:uiPriority w:val="2"/>
    <w:qFormat/>
    <w:rsid w:val="0075790A"/>
    <w:pPr>
      <w:numPr>
        <w:ilvl w:val="1"/>
      </w:numPr>
      <w:spacing w:after="0"/>
      <w:outlineLvl w:val="1"/>
    </w:pPr>
  </w:style>
  <w:style w:type="paragraph" w:styleId="Heading3">
    <w:name w:val="heading 3"/>
    <w:basedOn w:val="Normal"/>
    <w:next w:val="BodyText"/>
    <w:link w:val="Heading3Char"/>
    <w:uiPriority w:val="2"/>
    <w:rsid w:val="0075790A"/>
    <w:pPr>
      <w:keepNext/>
      <w:keepLines/>
      <w:spacing w:before="240"/>
      <w:outlineLvl w:val="2"/>
    </w:pPr>
    <w:rPr>
      <w:rFonts w:eastAsiaTheme="majorEastAsia" w:cstheme="majorBidi"/>
      <w:color w:val="78A22F" w:themeColor="accent1"/>
      <w:szCs w:val="24"/>
    </w:rPr>
  </w:style>
  <w:style w:type="paragraph" w:styleId="Heading4">
    <w:name w:val="heading 4"/>
    <w:basedOn w:val="Normal"/>
    <w:next w:val="BodyText"/>
    <w:link w:val="Heading4Char"/>
    <w:uiPriority w:val="99"/>
    <w:rsid w:val="0075790A"/>
    <w:pPr>
      <w:keepNext/>
      <w:keepLines/>
      <w:outlineLvl w:val="3"/>
    </w:pPr>
    <w:rPr>
      <w:rFonts w:eastAsiaTheme="majorEastAsia" w:cstheme="majorBidi"/>
      <w:b/>
      <w:iCs/>
      <w:color w:val="808285" w:themeColor="accent5"/>
    </w:rPr>
  </w:style>
  <w:style w:type="paragraph" w:styleId="Heading5">
    <w:name w:val="heading 5"/>
    <w:basedOn w:val="Normal"/>
    <w:next w:val="BodyText"/>
    <w:link w:val="Heading5Char"/>
    <w:uiPriority w:val="99"/>
    <w:rsid w:val="0075790A"/>
    <w:pPr>
      <w:keepNext/>
      <w:keepLines/>
      <w:outlineLvl w:val="4"/>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9"/>
    <w:rsid w:val="0075790A"/>
    <w:pPr>
      <w:tabs>
        <w:tab w:val="center" w:pos="4513"/>
        <w:tab w:val="right" w:pos="9026"/>
      </w:tabs>
      <w:spacing w:line="240" w:lineRule="auto"/>
      <w:jc w:val="right"/>
    </w:pPr>
    <w:rPr>
      <w:rFonts w:asciiTheme="majorHAnsi" w:hAnsiTheme="majorHAnsi"/>
      <w:sz w:val="18"/>
    </w:rPr>
  </w:style>
  <w:style w:type="character" w:customStyle="1" w:styleId="HeaderChar">
    <w:name w:val="Header Char"/>
    <w:basedOn w:val="DefaultParagraphFont"/>
    <w:link w:val="Header"/>
    <w:uiPriority w:val="29"/>
    <w:rsid w:val="0075790A"/>
    <w:rPr>
      <w:rFonts w:asciiTheme="majorHAnsi" w:hAnsiTheme="majorHAnsi"/>
      <w:sz w:val="18"/>
      <w:szCs w:val="22"/>
    </w:rPr>
  </w:style>
  <w:style w:type="paragraph" w:styleId="Footer">
    <w:name w:val="footer"/>
    <w:basedOn w:val="Normal"/>
    <w:link w:val="FooterChar"/>
    <w:uiPriority w:val="29"/>
    <w:rsid w:val="0075790A"/>
    <w:pPr>
      <w:tabs>
        <w:tab w:val="center" w:pos="4513"/>
        <w:tab w:val="right" w:pos="9026"/>
      </w:tabs>
      <w:spacing w:line="240" w:lineRule="auto"/>
      <w:ind w:right="397"/>
    </w:pPr>
    <w:rPr>
      <w:rFonts w:asciiTheme="majorHAnsi" w:hAnsiTheme="majorHAnsi"/>
      <w:color w:val="78A22F" w:themeColor="accent1"/>
      <w:sz w:val="18"/>
    </w:rPr>
  </w:style>
  <w:style w:type="character" w:customStyle="1" w:styleId="FooterChar">
    <w:name w:val="Footer Char"/>
    <w:basedOn w:val="DefaultParagraphFont"/>
    <w:link w:val="Footer"/>
    <w:uiPriority w:val="29"/>
    <w:rsid w:val="0075790A"/>
    <w:rPr>
      <w:rFonts w:asciiTheme="majorHAnsi" w:hAnsiTheme="majorHAnsi"/>
      <w:color w:val="78A22F" w:themeColor="accent1"/>
      <w:sz w:val="18"/>
      <w:szCs w:val="22"/>
    </w:rPr>
  </w:style>
  <w:style w:type="paragraph" w:customStyle="1" w:styleId="FooterHeading">
    <w:name w:val="Footer Heading"/>
    <w:basedOn w:val="Normal"/>
    <w:uiPriority w:val="29"/>
    <w:rsid w:val="0075790A"/>
    <w:pPr>
      <w:spacing w:line="220" w:lineRule="atLeast"/>
    </w:pPr>
    <w:rPr>
      <w:rFonts w:asciiTheme="majorHAnsi" w:eastAsiaTheme="minorEastAsia" w:hAnsiTheme="majorHAnsi" w:cstheme="minorBidi"/>
      <w:b/>
      <w:color w:val="78A22F" w:themeColor="accent1"/>
      <w:sz w:val="18"/>
    </w:rPr>
  </w:style>
  <w:style w:type="paragraph" w:customStyle="1" w:styleId="FooterOffices">
    <w:name w:val="Footer Offices"/>
    <w:basedOn w:val="Normal"/>
    <w:uiPriority w:val="29"/>
    <w:rsid w:val="0075790A"/>
    <w:pPr>
      <w:spacing w:line="220" w:lineRule="atLeast"/>
    </w:pPr>
    <w:rPr>
      <w:rFonts w:eastAsiaTheme="minorEastAsia" w:cstheme="minorBidi"/>
      <w:color w:val="000000" w:themeColor="text1"/>
      <w:sz w:val="18"/>
    </w:rPr>
  </w:style>
  <w:style w:type="paragraph" w:customStyle="1" w:styleId="FooterRegistration">
    <w:name w:val="Footer Registration"/>
    <w:basedOn w:val="FooterOffices"/>
    <w:uiPriority w:val="29"/>
    <w:rsid w:val="0075790A"/>
    <w:rPr>
      <w:sz w:val="14"/>
    </w:rPr>
  </w:style>
  <w:style w:type="paragraph" w:styleId="Title">
    <w:name w:val="Title"/>
    <w:next w:val="Subtitle"/>
    <w:link w:val="TitleChar"/>
    <w:uiPriority w:val="8"/>
    <w:qFormat/>
    <w:rsid w:val="0075790A"/>
    <w:pPr>
      <w:pBdr>
        <w:top w:val="single" w:sz="8" w:space="5" w:color="78A22F" w:themeColor="accent1"/>
      </w:pBdr>
      <w:spacing w:line="320" w:lineRule="atLeast"/>
    </w:pPr>
    <w:rPr>
      <w:rFonts w:asciiTheme="majorHAnsi" w:eastAsiaTheme="majorEastAsia" w:hAnsiTheme="majorHAnsi" w:cstheme="majorBidi"/>
      <w:b/>
      <w:color w:val="78A22F" w:themeColor="accent1"/>
      <w:sz w:val="32"/>
      <w:szCs w:val="32"/>
    </w:rPr>
  </w:style>
  <w:style w:type="character" w:customStyle="1" w:styleId="TitleChar">
    <w:name w:val="Title Char"/>
    <w:basedOn w:val="DefaultParagraphFont"/>
    <w:link w:val="Title"/>
    <w:uiPriority w:val="8"/>
    <w:rsid w:val="0075790A"/>
    <w:rPr>
      <w:rFonts w:asciiTheme="majorHAnsi" w:eastAsiaTheme="majorEastAsia" w:hAnsiTheme="majorHAnsi" w:cstheme="majorBidi"/>
      <w:b/>
      <w:color w:val="78A22F" w:themeColor="accent1"/>
      <w:sz w:val="32"/>
      <w:szCs w:val="32"/>
    </w:rPr>
  </w:style>
  <w:style w:type="character" w:styleId="Hyperlink">
    <w:name w:val="Hyperlink"/>
    <w:uiPriority w:val="99"/>
    <w:unhideWhenUsed/>
    <w:rsid w:val="0075790A"/>
    <w:rPr>
      <w:color w:val="78A22F" w:themeColor="accent1"/>
      <w:u w:val="none"/>
    </w:rPr>
  </w:style>
  <w:style w:type="character" w:styleId="FollowedHyperlink">
    <w:name w:val="FollowedHyperlink"/>
    <w:basedOn w:val="DefaultParagraphFont"/>
    <w:uiPriority w:val="99"/>
    <w:semiHidden/>
    <w:unhideWhenUsed/>
    <w:rsid w:val="0075790A"/>
    <w:rPr>
      <w:color w:val="800080" w:themeColor="followedHyperlink"/>
      <w:u w:val="single"/>
    </w:rPr>
  </w:style>
  <w:style w:type="character" w:customStyle="1" w:styleId="Heading1Char">
    <w:name w:val="Heading 1 Char"/>
    <w:basedOn w:val="DefaultParagraphFont"/>
    <w:link w:val="Heading1"/>
    <w:uiPriority w:val="2"/>
    <w:rsid w:val="0075790A"/>
    <w:rPr>
      <w:b/>
      <w:sz w:val="22"/>
      <w:szCs w:val="22"/>
    </w:rPr>
  </w:style>
  <w:style w:type="character" w:customStyle="1" w:styleId="Heading2Char">
    <w:name w:val="Heading 2 Char"/>
    <w:basedOn w:val="DefaultParagraphFont"/>
    <w:link w:val="Heading2"/>
    <w:uiPriority w:val="2"/>
    <w:rsid w:val="0075790A"/>
    <w:rPr>
      <w:b/>
      <w:sz w:val="22"/>
      <w:szCs w:val="22"/>
    </w:rPr>
  </w:style>
  <w:style w:type="character" w:customStyle="1" w:styleId="Heading3Char">
    <w:name w:val="Heading 3 Char"/>
    <w:basedOn w:val="DefaultParagraphFont"/>
    <w:link w:val="Heading3"/>
    <w:uiPriority w:val="2"/>
    <w:rsid w:val="0075790A"/>
    <w:rPr>
      <w:rFonts w:eastAsiaTheme="majorEastAsia" w:cstheme="majorBidi"/>
      <w:color w:val="78A22F" w:themeColor="accent1"/>
      <w:sz w:val="22"/>
      <w:szCs w:val="24"/>
    </w:rPr>
  </w:style>
  <w:style w:type="character" w:customStyle="1" w:styleId="Heading4Char">
    <w:name w:val="Heading 4 Char"/>
    <w:basedOn w:val="DefaultParagraphFont"/>
    <w:link w:val="Heading4"/>
    <w:uiPriority w:val="99"/>
    <w:rsid w:val="0075790A"/>
    <w:rPr>
      <w:rFonts w:eastAsiaTheme="majorEastAsia" w:cstheme="majorBidi"/>
      <w:b/>
      <w:iCs/>
      <w:color w:val="808285" w:themeColor="accent5"/>
      <w:sz w:val="22"/>
      <w:szCs w:val="22"/>
    </w:rPr>
  </w:style>
  <w:style w:type="paragraph" w:styleId="Subtitle">
    <w:name w:val="Subtitle"/>
    <w:next w:val="Date"/>
    <w:link w:val="SubtitleChar"/>
    <w:uiPriority w:val="9"/>
    <w:qFormat/>
    <w:rsid w:val="0075790A"/>
    <w:pPr>
      <w:spacing w:line="320" w:lineRule="atLeast"/>
    </w:pPr>
    <w:rPr>
      <w:rFonts w:eastAsiaTheme="majorEastAsia" w:cstheme="majorBidi"/>
      <w:b/>
      <w:sz w:val="28"/>
      <w:szCs w:val="26"/>
    </w:rPr>
  </w:style>
  <w:style w:type="character" w:customStyle="1" w:styleId="SubtitleChar">
    <w:name w:val="Subtitle Char"/>
    <w:basedOn w:val="DefaultParagraphFont"/>
    <w:link w:val="Subtitle"/>
    <w:uiPriority w:val="9"/>
    <w:rsid w:val="0075790A"/>
    <w:rPr>
      <w:rFonts w:eastAsiaTheme="majorEastAsia" w:cstheme="majorBidi"/>
      <w:b/>
      <w:sz w:val="28"/>
      <w:szCs w:val="26"/>
    </w:rPr>
  </w:style>
  <w:style w:type="character" w:customStyle="1" w:styleId="Heading5Char">
    <w:name w:val="Heading 5 Char"/>
    <w:basedOn w:val="DefaultParagraphFont"/>
    <w:link w:val="Heading5"/>
    <w:uiPriority w:val="99"/>
    <w:rsid w:val="0075790A"/>
    <w:rPr>
      <w:rFonts w:eastAsiaTheme="majorEastAsia" w:cstheme="majorBidi"/>
      <w:sz w:val="18"/>
      <w:szCs w:val="22"/>
    </w:rPr>
  </w:style>
  <w:style w:type="paragraph" w:styleId="BalloonText">
    <w:name w:val="Balloon Text"/>
    <w:basedOn w:val="Normal"/>
    <w:link w:val="BalloonTextChar"/>
    <w:uiPriority w:val="99"/>
    <w:semiHidden/>
    <w:unhideWhenUsed/>
    <w:rsid w:val="007579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90A"/>
    <w:rPr>
      <w:rFonts w:ascii="Segoe UI" w:hAnsi="Segoe UI" w:cs="Segoe UI"/>
      <w:sz w:val="18"/>
      <w:szCs w:val="18"/>
    </w:rPr>
  </w:style>
  <w:style w:type="paragraph" w:customStyle="1" w:styleId="Subject">
    <w:name w:val="Subject"/>
    <w:basedOn w:val="BodyText"/>
    <w:next w:val="BodyTextIndented2"/>
    <w:uiPriority w:val="13"/>
    <w:qFormat/>
    <w:rsid w:val="0075790A"/>
    <w:pPr>
      <w:keepNext/>
      <w:spacing w:before="60" w:after="60"/>
      <w:jc w:val="left"/>
    </w:pPr>
    <w:rPr>
      <w:rFonts w:asciiTheme="majorHAnsi" w:hAnsiTheme="majorHAnsi"/>
      <w:b/>
      <w:color w:val="78A22F" w:themeColor="accent1"/>
    </w:rPr>
  </w:style>
  <w:style w:type="paragraph" w:styleId="NoSpacing">
    <w:name w:val="No Spacing"/>
    <w:uiPriority w:val="99"/>
    <w:semiHidden/>
    <w:qFormat/>
    <w:rsid w:val="0075790A"/>
    <w:pPr>
      <w:jc w:val="both"/>
    </w:pPr>
    <w:rPr>
      <w:sz w:val="22"/>
      <w:szCs w:val="22"/>
    </w:rPr>
  </w:style>
  <w:style w:type="paragraph" w:customStyle="1" w:styleId="Subject2">
    <w:name w:val="Subject2"/>
    <w:basedOn w:val="BodyText"/>
    <w:next w:val="BodyTextIndented2"/>
    <w:uiPriority w:val="13"/>
    <w:qFormat/>
    <w:rsid w:val="0075790A"/>
    <w:pPr>
      <w:keepNext/>
      <w:spacing w:before="60" w:after="60"/>
      <w:jc w:val="left"/>
    </w:pPr>
    <w:rPr>
      <w:rFonts w:asciiTheme="majorHAnsi" w:hAnsiTheme="majorHAnsi"/>
      <w:b/>
      <w:color w:val="58595B" w:themeColor="accent6"/>
    </w:rPr>
  </w:style>
  <w:style w:type="numbering" w:customStyle="1" w:styleId="AFMENumbering">
    <w:name w:val="AFME Numbering"/>
    <w:uiPriority w:val="99"/>
    <w:rsid w:val="0075790A"/>
    <w:pPr>
      <w:numPr>
        <w:numId w:val="1"/>
      </w:numPr>
    </w:pPr>
  </w:style>
  <w:style w:type="numbering" w:customStyle="1" w:styleId="AFMEBullets">
    <w:name w:val="AFME Bullets"/>
    <w:uiPriority w:val="99"/>
    <w:rsid w:val="0075790A"/>
    <w:pPr>
      <w:numPr>
        <w:numId w:val="2"/>
      </w:numPr>
    </w:pPr>
  </w:style>
  <w:style w:type="paragraph" w:styleId="ListParagraph">
    <w:name w:val="List Paragraph"/>
    <w:basedOn w:val="Normal"/>
    <w:uiPriority w:val="1"/>
    <w:qFormat/>
    <w:rsid w:val="0075790A"/>
    <w:pPr>
      <w:ind w:left="720"/>
      <w:contextualSpacing/>
    </w:pPr>
  </w:style>
  <w:style w:type="paragraph" w:customStyle="1" w:styleId="Bullets1">
    <w:name w:val="Bullets 1"/>
    <w:basedOn w:val="Normal"/>
    <w:uiPriority w:val="4"/>
    <w:qFormat/>
    <w:rsid w:val="0075790A"/>
    <w:pPr>
      <w:numPr>
        <w:numId w:val="4"/>
      </w:numPr>
      <w:spacing w:after="120"/>
      <w:contextualSpacing/>
    </w:pPr>
  </w:style>
  <w:style w:type="paragraph" w:customStyle="1" w:styleId="Bullets2">
    <w:name w:val="Bullets 2"/>
    <w:basedOn w:val="Bullets1"/>
    <w:uiPriority w:val="4"/>
    <w:qFormat/>
    <w:rsid w:val="0075790A"/>
    <w:pPr>
      <w:numPr>
        <w:ilvl w:val="1"/>
      </w:numPr>
    </w:pPr>
  </w:style>
  <w:style w:type="paragraph" w:customStyle="1" w:styleId="Bullets3">
    <w:name w:val="Bullets 3"/>
    <w:basedOn w:val="Bullets2"/>
    <w:uiPriority w:val="4"/>
    <w:unhideWhenUsed/>
    <w:rsid w:val="0075790A"/>
    <w:pPr>
      <w:numPr>
        <w:ilvl w:val="2"/>
      </w:numPr>
    </w:pPr>
  </w:style>
  <w:style w:type="paragraph" w:styleId="BodyText">
    <w:name w:val="Body Text"/>
    <w:basedOn w:val="Normal"/>
    <w:link w:val="BodyTextChar"/>
    <w:uiPriority w:val="1"/>
    <w:qFormat/>
    <w:rsid w:val="0075790A"/>
    <w:pPr>
      <w:spacing w:after="120"/>
      <w:jc w:val="both"/>
    </w:pPr>
  </w:style>
  <w:style w:type="character" w:customStyle="1" w:styleId="BodyTextChar">
    <w:name w:val="Body Text Char"/>
    <w:basedOn w:val="DefaultParagraphFont"/>
    <w:link w:val="BodyText"/>
    <w:rsid w:val="0075790A"/>
    <w:rPr>
      <w:sz w:val="22"/>
      <w:szCs w:val="22"/>
    </w:rPr>
  </w:style>
  <w:style w:type="paragraph" w:styleId="FootnoteText">
    <w:name w:val="footnote text"/>
    <w:basedOn w:val="Normal"/>
    <w:link w:val="FootnoteTextChar"/>
    <w:uiPriority w:val="99"/>
    <w:rsid w:val="0075790A"/>
    <w:pPr>
      <w:spacing w:line="240" w:lineRule="auto"/>
    </w:pPr>
    <w:rPr>
      <w:rFonts w:asciiTheme="majorHAnsi" w:hAnsiTheme="majorHAnsi"/>
      <w:sz w:val="14"/>
    </w:rPr>
  </w:style>
  <w:style w:type="character" w:customStyle="1" w:styleId="FootnoteTextChar">
    <w:name w:val="Footnote Text Char"/>
    <w:basedOn w:val="DefaultParagraphFont"/>
    <w:link w:val="FootnoteText"/>
    <w:uiPriority w:val="99"/>
    <w:rsid w:val="0075790A"/>
    <w:rPr>
      <w:rFonts w:asciiTheme="majorHAnsi" w:hAnsiTheme="majorHAnsi"/>
      <w:sz w:val="14"/>
      <w:szCs w:val="22"/>
    </w:rPr>
  </w:style>
  <w:style w:type="character" w:styleId="FootnoteReference">
    <w:name w:val="footnote reference"/>
    <w:basedOn w:val="DefaultParagraphFont"/>
    <w:uiPriority w:val="99"/>
    <w:semiHidden/>
    <w:unhideWhenUsed/>
    <w:rsid w:val="0075790A"/>
    <w:rPr>
      <w:vertAlign w:val="superscript"/>
    </w:rPr>
  </w:style>
  <w:style w:type="paragraph" w:customStyle="1" w:styleId="GreenLine">
    <w:name w:val="Green Line"/>
    <w:basedOn w:val="Normal"/>
    <w:next w:val="BodyText"/>
    <w:uiPriority w:val="23"/>
    <w:qFormat/>
    <w:rsid w:val="0075790A"/>
    <w:pPr>
      <w:pBdr>
        <w:bottom w:val="single" w:sz="8" w:space="1" w:color="78A22F" w:themeColor="accent1"/>
      </w:pBdr>
      <w:spacing w:after="240"/>
    </w:pPr>
    <w:rPr>
      <w:rFonts w:asciiTheme="majorHAnsi" w:hAnsiTheme="majorHAnsi"/>
      <w:color w:val="78A22F" w:themeColor="accent1"/>
    </w:rPr>
  </w:style>
  <w:style w:type="paragraph" w:customStyle="1" w:styleId="BodyTextIndented2">
    <w:name w:val="Body Text Indented 2"/>
    <w:basedOn w:val="BodyText"/>
    <w:uiPriority w:val="1"/>
    <w:rsid w:val="0075790A"/>
    <w:pPr>
      <w:ind w:left="284"/>
    </w:pPr>
  </w:style>
  <w:style w:type="table" w:styleId="TableGrid">
    <w:name w:val="Table Grid"/>
    <w:basedOn w:val="TableNormal"/>
    <w:uiPriority w:val="59"/>
    <w:rsid w:val="007579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Offices">
    <w:name w:val="Back Cover Offices"/>
    <w:basedOn w:val="Normal"/>
    <w:uiPriority w:val="29"/>
    <w:rsid w:val="0075790A"/>
    <w:rPr>
      <w:rFonts w:asciiTheme="majorHAnsi" w:hAnsiTheme="majorHAnsi" w:cstheme="majorHAnsi"/>
      <w:b/>
      <w:color w:val="78A22F" w:themeColor="accent1"/>
    </w:rPr>
  </w:style>
  <w:style w:type="paragraph" w:customStyle="1" w:styleId="BackCoverNames">
    <w:name w:val="Back Cover Names"/>
    <w:basedOn w:val="Normal"/>
    <w:link w:val="BackCoverNamesChar"/>
    <w:uiPriority w:val="29"/>
    <w:rsid w:val="0075790A"/>
    <w:rPr>
      <w:b/>
      <w:color w:val="58595B" w:themeColor="text2"/>
    </w:rPr>
  </w:style>
  <w:style w:type="paragraph" w:customStyle="1" w:styleId="BackCoverURL">
    <w:name w:val="Back Cover URL"/>
    <w:basedOn w:val="BackCoverOffices"/>
    <w:uiPriority w:val="29"/>
    <w:rsid w:val="0075790A"/>
    <w:rPr>
      <w:b w:val="0"/>
    </w:rPr>
  </w:style>
  <w:style w:type="character" w:customStyle="1" w:styleId="BackCoverNamesChar">
    <w:name w:val="Back Cover Names Char"/>
    <w:basedOn w:val="DefaultParagraphFont"/>
    <w:link w:val="BackCoverNames"/>
    <w:uiPriority w:val="29"/>
    <w:rsid w:val="0075790A"/>
    <w:rPr>
      <w:b/>
      <w:color w:val="58595B" w:themeColor="text2"/>
      <w:sz w:val="22"/>
      <w:szCs w:val="22"/>
    </w:rPr>
  </w:style>
  <w:style w:type="paragraph" w:styleId="TOC1">
    <w:name w:val="toc 1"/>
    <w:basedOn w:val="Normal"/>
    <w:next w:val="Normal"/>
    <w:autoRedefine/>
    <w:uiPriority w:val="39"/>
    <w:rsid w:val="0075790A"/>
    <w:pPr>
      <w:tabs>
        <w:tab w:val="right" w:leader="dot" w:pos="10194"/>
      </w:tabs>
      <w:spacing w:before="160" w:after="60" w:line="240" w:lineRule="auto"/>
      <w:ind w:right="284"/>
    </w:pPr>
    <w:rPr>
      <w:rFonts w:asciiTheme="majorHAnsi" w:hAnsiTheme="majorHAnsi"/>
      <w:b/>
      <w:color w:val="78A22F" w:themeColor="accent1"/>
      <w:sz w:val="18"/>
    </w:rPr>
  </w:style>
  <w:style w:type="paragraph" w:styleId="TOC2">
    <w:name w:val="toc 2"/>
    <w:basedOn w:val="Normal"/>
    <w:next w:val="Normal"/>
    <w:autoRedefine/>
    <w:uiPriority w:val="39"/>
    <w:rsid w:val="0075790A"/>
    <w:pPr>
      <w:spacing w:before="60" w:after="60" w:line="240" w:lineRule="auto"/>
      <w:ind w:left="454" w:right="284" w:hanging="284"/>
    </w:pPr>
    <w:rPr>
      <w:rFonts w:asciiTheme="majorHAnsi" w:hAnsiTheme="majorHAnsi"/>
      <w:color w:val="78A22F" w:themeColor="accent1"/>
      <w:sz w:val="16"/>
    </w:rPr>
  </w:style>
  <w:style w:type="paragraph" w:styleId="TOC3">
    <w:name w:val="toc 3"/>
    <w:basedOn w:val="Normal"/>
    <w:next w:val="Normal"/>
    <w:autoRedefine/>
    <w:uiPriority w:val="39"/>
    <w:rsid w:val="0075790A"/>
    <w:pPr>
      <w:tabs>
        <w:tab w:val="left" w:pos="880"/>
        <w:tab w:val="right" w:leader="dot" w:pos="10194"/>
      </w:tabs>
      <w:spacing w:line="240" w:lineRule="auto"/>
      <w:ind w:left="737" w:right="284" w:hanging="397"/>
    </w:pPr>
    <w:rPr>
      <w:sz w:val="16"/>
    </w:rPr>
  </w:style>
  <w:style w:type="paragraph" w:styleId="Quote">
    <w:name w:val="Quote"/>
    <w:basedOn w:val="BodyText"/>
    <w:next w:val="Normal"/>
    <w:link w:val="QuoteChar"/>
    <w:uiPriority w:val="14"/>
    <w:qFormat/>
    <w:rsid w:val="0075790A"/>
    <w:pPr>
      <w:pBdr>
        <w:top w:val="single" w:sz="8" w:space="1" w:color="78A22F" w:themeColor="accent1"/>
      </w:pBdr>
    </w:pPr>
    <w:rPr>
      <w:i/>
      <w:sz w:val="32"/>
      <w:szCs w:val="32"/>
    </w:rPr>
  </w:style>
  <w:style w:type="character" w:customStyle="1" w:styleId="QuoteChar">
    <w:name w:val="Quote Char"/>
    <w:basedOn w:val="DefaultParagraphFont"/>
    <w:link w:val="Quote"/>
    <w:uiPriority w:val="14"/>
    <w:rsid w:val="0075790A"/>
    <w:rPr>
      <w:i/>
      <w:sz w:val="32"/>
      <w:szCs w:val="32"/>
    </w:rPr>
  </w:style>
  <w:style w:type="paragraph" w:styleId="TOCHeading">
    <w:name w:val="TOC Heading"/>
    <w:basedOn w:val="Normal"/>
    <w:next w:val="Normal"/>
    <w:uiPriority w:val="24"/>
    <w:rsid w:val="0075790A"/>
    <w:pPr>
      <w:pBdr>
        <w:bottom w:val="single" w:sz="8" w:space="1" w:color="78A22F" w:themeColor="accent1"/>
      </w:pBdr>
      <w:spacing w:after="240" w:line="360" w:lineRule="atLeast"/>
    </w:pPr>
    <w:rPr>
      <w:rFonts w:asciiTheme="majorHAnsi" w:hAnsiTheme="majorHAnsi"/>
      <w:color w:val="78A22F" w:themeColor="accent1"/>
      <w:sz w:val="32"/>
    </w:rPr>
  </w:style>
  <w:style w:type="paragraph" w:customStyle="1" w:styleId="Source">
    <w:name w:val="Source"/>
    <w:basedOn w:val="BodyText"/>
    <w:next w:val="BodyText"/>
    <w:uiPriority w:val="15"/>
    <w:qFormat/>
    <w:rsid w:val="0075790A"/>
    <w:pPr>
      <w:numPr>
        <w:numId w:val="3"/>
      </w:numPr>
      <w:jc w:val="right"/>
    </w:pPr>
    <w:rPr>
      <w:rFonts w:asciiTheme="majorHAnsi" w:hAnsiTheme="majorHAnsi"/>
      <w:i/>
      <w:color w:val="58595B" w:themeColor="text2"/>
      <w:sz w:val="16"/>
    </w:rPr>
  </w:style>
  <w:style w:type="numbering" w:customStyle="1" w:styleId="Sources">
    <w:name w:val="Sources"/>
    <w:uiPriority w:val="99"/>
    <w:rsid w:val="0075790A"/>
    <w:pPr>
      <w:numPr>
        <w:numId w:val="3"/>
      </w:numPr>
    </w:pPr>
  </w:style>
  <w:style w:type="paragraph" w:customStyle="1" w:styleId="Charts">
    <w:name w:val="Charts"/>
    <w:basedOn w:val="Normal"/>
    <w:next w:val="Source"/>
    <w:uiPriority w:val="14"/>
    <w:qFormat/>
    <w:rsid w:val="0075790A"/>
    <w:pPr>
      <w:spacing w:line="240" w:lineRule="auto"/>
    </w:pPr>
    <w:rPr>
      <w:noProof/>
    </w:rPr>
  </w:style>
  <w:style w:type="paragraph" w:customStyle="1" w:styleId="Pictures">
    <w:name w:val="Pictures"/>
    <w:basedOn w:val="BodyText"/>
    <w:next w:val="Source"/>
    <w:uiPriority w:val="14"/>
    <w:rsid w:val="0075790A"/>
  </w:style>
  <w:style w:type="paragraph" w:customStyle="1" w:styleId="Notes">
    <w:name w:val="Notes"/>
    <w:basedOn w:val="Normal"/>
    <w:next w:val="BodyText"/>
    <w:uiPriority w:val="17"/>
    <w:qFormat/>
    <w:rsid w:val="0075790A"/>
    <w:pPr>
      <w:spacing w:after="120"/>
    </w:pPr>
    <w:rPr>
      <w:b/>
      <w:sz w:val="16"/>
    </w:rPr>
  </w:style>
  <w:style w:type="paragraph" w:customStyle="1" w:styleId="SectionHeading">
    <w:name w:val="Section Heading"/>
    <w:basedOn w:val="BodyText"/>
    <w:next w:val="Level1"/>
    <w:uiPriority w:val="11"/>
    <w:qFormat/>
    <w:rsid w:val="0075790A"/>
    <w:pPr>
      <w:numPr>
        <w:numId w:val="5"/>
      </w:numPr>
      <w:pBdr>
        <w:bottom w:val="single" w:sz="8" w:space="1" w:color="78A22F" w:themeColor="accent1"/>
      </w:pBdr>
      <w:spacing w:line="360" w:lineRule="atLeast"/>
      <w:jc w:val="left"/>
    </w:pPr>
    <w:rPr>
      <w:rFonts w:asciiTheme="majorHAnsi" w:hAnsiTheme="majorHAnsi"/>
      <w:color w:val="78A22F" w:themeColor="accent1"/>
      <w:sz w:val="32"/>
    </w:rPr>
  </w:style>
  <w:style w:type="paragraph" w:customStyle="1" w:styleId="BodyTextIndented1">
    <w:name w:val="Body Text Indented 1"/>
    <w:basedOn w:val="BodyText"/>
    <w:uiPriority w:val="1"/>
    <w:qFormat/>
    <w:rsid w:val="0075790A"/>
    <w:pPr>
      <w:ind w:left="567"/>
    </w:pPr>
  </w:style>
  <w:style w:type="paragraph" w:customStyle="1" w:styleId="CoverTitle">
    <w:name w:val="Cover Title"/>
    <w:basedOn w:val="BodyText"/>
    <w:next w:val="CoverSubtitle"/>
    <w:uiPriority w:val="25"/>
    <w:qFormat/>
    <w:rsid w:val="0075790A"/>
    <w:pPr>
      <w:pBdr>
        <w:bottom w:val="single" w:sz="2" w:space="1" w:color="78A22F" w:themeColor="accent1"/>
      </w:pBdr>
      <w:spacing w:after="360" w:line="240" w:lineRule="auto"/>
      <w:jc w:val="left"/>
    </w:pPr>
    <w:rPr>
      <w:rFonts w:asciiTheme="majorHAnsi" w:hAnsiTheme="majorHAnsi"/>
      <w:b/>
      <w:color w:val="78A22F" w:themeColor="accent1"/>
      <w:sz w:val="72"/>
    </w:rPr>
  </w:style>
  <w:style w:type="paragraph" w:customStyle="1" w:styleId="BodyTextHighlight">
    <w:name w:val="Body Text Highlight"/>
    <w:basedOn w:val="BodyText"/>
    <w:next w:val="BodyText"/>
    <w:link w:val="BodyTextHighlightChar"/>
    <w:uiPriority w:val="7"/>
    <w:rsid w:val="0075790A"/>
    <w:rPr>
      <w:rFonts w:asciiTheme="majorHAnsi" w:hAnsiTheme="majorHAnsi" w:cstheme="majorHAnsi"/>
      <w:b/>
      <w:color w:val="58595B" w:themeColor="text2"/>
    </w:rPr>
  </w:style>
  <w:style w:type="paragraph" w:customStyle="1" w:styleId="NormalHighlight">
    <w:name w:val="Normal Highlight"/>
    <w:basedOn w:val="Normal"/>
    <w:next w:val="Normal"/>
    <w:link w:val="NormalHighlightChar"/>
    <w:uiPriority w:val="7"/>
    <w:qFormat/>
    <w:rsid w:val="0075790A"/>
    <w:rPr>
      <w:noProof/>
      <w:color w:val="78A22F" w:themeColor="accent1"/>
    </w:rPr>
  </w:style>
  <w:style w:type="paragraph" w:customStyle="1" w:styleId="Level1">
    <w:name w:val="Level 1"/>
    <w:basedOn w:val="BodyText"/>
    <w:next w:val="BodyTextIndented1"/>
    <w:uiPriority w:val="12"/>
    <w:qFormat/>
    <w:rsid w:val="0075790A"/>
    <w:pPr>
      <w:keepNext/>
      <w:numPr>
        <w:ilvl w:val="1"/>
        <w:numId w:val="5"/>
      </w:numPr>
      <w:pBdr>
        <w:bottom w:val="single" w:sz="2" w:space="1" w:color="78A22F" w:themeColor="accent1"/>
      </w:pBdr>
      <w:spacing w:before="60" w:after="60"/>
    </w:pPr>
    <w:rPr>
      <w:rFonts w:asciiTheme="majorHAnsi" w:hAnsiTheme="majorHAnsi"/>
      <w:b/>
      <w:color w:val="78A22F" w:themeColor="accent1"/>
    </w:rPr>
  </w:style>
  <w:style w:type="paragraph" w:customStyle="1" w:styleId="Level2">
    <w:name w:val="Level 2"/>
    <w:basedOn w:val="BodyText"/>
    <w:next w:val="BodyTextIndented1"/>
    <w:uiPriority w:val="12"/>
    <w:qFormat/>
    <w:rsid w:val="0075790A"/>
    <w:pPr>
      <w:keepNext/>
      <w:numPr>
        <w:ilvl w:val="2"/>
        <w:numId w:val="5"/>
      </w:numPr>
      <w:spacing w:before="60" w:after="60"/>
    </w:pPr>
    <w:rPr>
      <w:rFonts w:asciiTheme="majorHAnsi" w:hAnsiTheme="majorHAnsi"/>
      <w:b/>
      <w:color w:val="58595B" w:themeColor="text2"/>
    </w:rPr>
  </w:style>
  <w:style w:type="paragraph" w:customStyle="1" w:styleId="Level3">
    <w:name w:val="Level 3"/>
    <w:basedOn w:val="BodyText"/>
    <w:next w:val="BodyTextIndented1"/>
    <w:uiPriority w:val="12"/>
    <w:rsid w:val="0075790A"/>
    <w:pPr>
      <w:keepNext/>
      <w:numPr>
        <w:ilvl w:val="3"/>
        <w:numId w:val="5"/>
      </w:numPr>
      <w:spacing w:before="60" w:after="60"/>
    </w:pPr>
    <w:rPr>
      <w:rFonts w:asciiTheme="majorHAnsi" w:hAnsiTheme="majorHAnsi"/>
      <w:color w:val="58595B" w:themeColor="text2"/>
    </w:rPr>
  </w:style>
  <w:style w:type="paragraph" w:customStyle="1" w:styleId="Level4">
    <w:name w:val="Level 4"/>
    <w:basedOn w:val="BodyText"/>
    <w:next w:val="BodyTextIndented1"/>
    <w:uiPriority w:val="12"/>
    <w:rsid w:val="0075790A"/>
    <w:pPr>
      <w:keepNext/>
      <w:numPr>
        <w:ilvl w:val="4"/>
        <w:numId w:val="5"/>
      </w:numPr>
      <w:spacing w:before="60" w:after="60"/>
    </w:pPr>
    <w:rPr>
      <w:rFonts w:asciiTheme="majorHAnsi" w:hAnsiTheme="majorHAnsi"/>
      <w:color w:val="58595B" w:themeColor="text2"/>
      <w:sz w:val="18"/>
    </w:rPr>
  </w:style>
  <w:style w:type="paragraph" w:customStyle="1" w:styleId="Level5">
    <w:name w:val="Level 5"/>
    <w:basedOn w:val="BodyText"/>
    <w:next w:val="BodyTextIndented1"/>
    <w:uiPriority w:val="12"/>
    <w:rsid w:val="0075790A"/>
    <w:pPr>
      <w:keepNext/>
      <w:numPr>
        <w:ilvl w:val="5"/>
        <w:numId w:val="5"/>
      </w:numPr>
      <w:spacing w:before="60" w:after="60"/>
    </w:pPr>
    <w:rPr>
      <w:rFonts w:asciiTheme="majorHAnsi" w:hAnsiTheme="majorHAnsi"/>
      <w:sz w:val="18"/>
    </w:rPr>
  </w:style>
  <w:style w:type="paragraph" w:customStyle="1" w:styleId="CoverSubtitle">
    <w:name w:val="Cover Subtitle"/>
    <w:basedOn w:val="BodyText"/>
    <w:next w:val="CoverDate"/>
    <w:uiPriority w:val="26"/>
    <w:qFormat/>
    <w:rsid w:val="0075790A"/>
    <w:pPr>
      <w:spacing w:after="360"/>
      <w:jc w:val="left"/>
    </w:pPr>
    <w:rPr>
      <w:rFonts w:asciiTheme="majorHAnsi" w:hAnsiTheme="majorHAnsi"/>
      <w:sz w:val="52"/>
    </w:rPr>
  </w:style>
  <w:style w:type="paragraph" w:customStyle="1" w:styleId="CoverFooterHeading">
    <w:name w:val="Cover Footer Heading"/>
    <w:basedOn w:val="BodyText"/>
    <w:uiPriority w:val="29"/>
    <w:rsid w:val="0075790A"/>
    <w:pPr>
      <w:spacing w:after="0" w:line="220" w:lineRule="atLeast"/>
      <w:ind w:left="397"/>
      <w:jc w:val="left"/>
    </w:pPr>
    <w:rPr>
      <w:rFonts w:asciiTheme="majorHAnsi" w:hAnsiTheme="majorHAnsi"/>
      <w:color w:val="78A22F" w:themeColor="accent1"/>
    </w:rPr>
  </w:style>
  <w:style w:type="paragraph" w:customStyle="1" w:styleId="BodyTextBold">
    <w:name w:val="Body Text Bold"/>
    <w:basedOn w:val="BodyText"/>
    <w:next w:val="BodyText"/>
    <w:link w:val="BodyTextBoldChar"/>
    <w:uiPriority w:val="1"/>
    <w:qFormat/>
    <w:rsid w:val="0075790A"/>
    <w:rPr>
      <w:b/>
      <w:noProof/>
    </w:rPr>
  </w:style>
  <w:style w:type="paragraph" w:styleId="Date">
    <w:name w:val="Date"/>
    <w:basedOn w:val="CoverDate"/>
    <w:next w:val="Heading1"/>
    <w:link w:val="DateChar"/>
    <w:uiPriority w:val="10"/>
    <w:qFormat/>
    <w:rsid w:val="0075790A"/>
    <w:pPr>
      <w:pBdr>
        <w:bottom w:val="single" w:sz="8" w:space="5" w:color="78A22F" w:themeColor="accent1"/>
      </w:pBdr>
      <w:spacing w:before="0" w:after="240"/>
    </w:pPr>
    <w:rPr>
      <w:rFonts w:asciiTheme="minorHAnsi" w:hAnsiTheme="minorHAnsi"/>
      <w:sz w:val="22"/>
    </w:rPr>
  </w:style>
  <w:style w:type="character" w:customStyle="1" w:styleId="DateChar">
    <w:name w:val="Date Char"/>
    <w:basedOn w:val="DefaultParagraphFont"/>
    <w:link w:val="Date"/>
    <w:uiPriority w:val="10"/>
    <w:rsid w:val="0075790A"/>
    <w:rPr>
      <w:sz w:val="22"/>
      <w:szCs w:val="22"/>
    </w:rPr>
  </w:style>
  <w:style w:type="paragraph" w:customStyle="1" w:styleId="Subject3">
    <w:name w:val="Subject3"/>
    <w:basedOn w:val="BodyText"/>
    <w:next w:val="BodyTextIndented2"/>
    <w:uiPriority w:val="13"/>
    <w:rsid w:val="0075790A"/>
    <w:pPr>
      <w:keepNext/>
      <w:spacing w:before="60" w:after="60"/>
    </w:pPr>
    <w:rPr>
      <w:rFonts w:asciiTheme="majorHAnsi" w:hAnsiTheme="majorHAnsi"/>
      <w:color w:val="58595B" w:themeColor="text2"/>
    </w:rPr>
  </w:style>
  <w:style w:type="paragraph" w:customStyle="1" w:styleId="Reportheader">
    <w:name w:val="Report header"/>
    <w:basedOn w:val="Header"/>
    <w:uiPriority w:val="27"/>
    <w:rsid w:val="0075790A"/>
    <w:rPr>
      <w:b/>
      <w:color w:val="78A22F" w:themeColor="accent1"/>
      <w:sz w:val="22"/>
    </w:rPr>
  </w:style>
  <w:style w:type="paragraph" w:customStyle="1" w:styleId="CoverDate">
    <w:name w:val="Cover Date"/>
    <w:basedOn w:val="Normal"/>
    <w:next w:val="BodyText"/>
    <w:uiPriority w:val="27"/>
    <w:qFormat/>
    <w:rsid w:val="0075790A"/>
    <w:pPr>
      <w:spacing w:before="120" w:after="120"/>
    </w:pPr>
    <w:rPr>
      <w:rFonts w:asciiTheme="majorHAnsi" w:hAnsiTheme="majorHAnsi"/>
      <w:sz w:val="36"/>
    </w:rPr>
  </w:style>
  <w:style w:type="paragraph" w:customStyle="1" w:styleId="NormalBold">
    <w:name w:val="Normal Bold"/>
    <w:basedOn w:val="Normal"/>
    <w:next w:val="Normal"/>
    <w:uiPriority w:val="5"/>
    <w:qFormat/>
    <w:rsid w:val="0075790A"/>
    <w:rPr>
      <w:b/>
    </w:rPr>
  </w:style>
  <w:style w:type="character" w:customStyle="1" w:styleId="NormalHighlightChar">
    <w:name w:val="Normal Highlight Char"/>
    <w:basedOn w:val="DefaultParagraphFont"/>
    <w:link w:val="NormalHighlight"/>
    <w:uiPriority w:val="7"/>
    <w:rsid w:val="0075790A"/>
    <w:rPr>
      <w:noProof/>
      <w:color w:val="78A22F" w:themeColor="accent1"/>
      <w:sz w:val="22"/>
      <w:szCs w:val="22"/>
    </w:rPr>
  </w:style>
  <w:style w:type="character" w:customStyle="1" w:styleId="BodyTextBoldChar">
    <w:name w:val="Body Text Bold Char"/>
    <w:basedOn w:val="BodyTextChar"/>
    <w:link w:val="BodyTextBold"/>
    <w:uiPriority w:val="1"/>
    <w:rsid w:val="0075790A"/>
    <w:rPr>
      <w:b/>
      <w:noProof/>
      <w:sz w:val="22"/>
      <w:szCs w:val="22"/>
    </w:rPr>
  </w:style>
  <w:style w:type="character" w:customStyle="1" w:styleId="BodyTextHighlightChar">
    <w:name w:val="Body Text Highlight Char"/>
    <w:basedOn w:val="BodyTextChar"/>
    <w:link w:val="BodyTextHighlight"/>
    <w:uiPriority w:val="7"/>
    <w:rsid w:val="0075790A"/>
    <w:rPr>
      <w:rFonts w:asciiTheme="majorHAnsi" w:hAnsiTheme="majorHAnsi" w:cstheme="majorHAnsi"/>
      <w:b/>
      <w:color w:val="58595B" w:themeColor="text2"/>
      <w:sz w:val="22"/>
      <w:szCs w:val="22"/>
    </w:rPr>
  </w:style>
  <w:style w:type="paragraph" w:customStyle="1" w:styleId="AFMEPagenumber">
    <w:name w:val="AFME Page number"/>
    <w:basedOn w:val="Footer"/>
    <w:uiPriority w:val="29"/>
    <w:qFormat/>
    <w:rsid w:val="0075790A"/>
    <w:pPr>
      <w:ind w:right="0"/>
      <w:jc w:val="right"/>
    </w:pPr>
    <w:rPr>
      <w:b/>
    </w:rPr>
  </w:style>
  <w:style w:type="paragraph" w:customStyle="1" w:styleId="AFMEFullName">
    <w:name w:val="AFME Full Name"/>
    <w:basedOn w:val="BodyTextBold"/>
    <w:uiPriority w:val="29"/>
    <w:qFormat/>
    <w:rsid w:val="0075790A"/>
    <w:pPr>
      <w:spacing w:before="400" w:after="0"/>
      <w:jc w:val="right"/>
    </w:pPr>
    <w:rPr>
      <w:sz w:val="18"/>
      <w:szCs w:val="18"/>
    </w:rPr>
  </w:style>
  <w:style w:type="paragraph" w:customStyle="1" w:styleId="AFMEContactEmail">
    <w:name w:val="AFME Contact Email"/>
    <w:basedOn w:val="NormalHighlight"/>
    <w:next w:val="Normal"/>
    <w:uiPriority w:val="28"/>
    <w:qFormat/>
    <w:rsid w:val="0075790A"/>
    <w:pPr>
      <w:spacing w:before="120" w:after="120"/>
    </w:pPr>
  </w:style>
  <w:style w:type="paragraph" w:customStyle="1" w:styleId="FooterLegal-letter">
    <w:name w:val="Footer Legal -  letter"/>
    <w:basedOn w:val="FooterOffices"/>
    <w:uiPriority w:val="29"/>
    <w:rsid w:val="0075790A"/>
    <w:pPr>
      <w:spacing w:line="180" w:lineRule="atLeast"/>
      <w:ind w:left="-794"/>
    </w:pPr>
    <w:rPr>
      <w:sz w:val="14"/>
    </w:rPr>
  </w:style>
  <w:style w:type="paragraph" w:customStyle="1" w:styleId="FooterHeading-letter">
    <w:name w:val="Footer Heading - letter"/>
    <w:basedOn w:val="FooterHeading"/>
    <w:uiPriority w:val="29"/>
    <w:qFormat/>
    <w:rsid w:val="0075790A"/>
    <w:pPr>
      <w:ind w:left="-794"/>
    </w:pPr>
  </w:style>
  <w:style w:type="paragraph" w:customStyle="1" w:styleId="FooterOffices-letter">
    <w:name w:val="Footer Offices - letter"/>
    <w:basedOn w:val="FooterOffices"/>
    <w:uiPriority w:val="29"/>
    <w:qFormat/>
    <w:rsid w:val="0075790A"/>
    <w:pPr>
      <w:ind w:left="-794"/>
    </w:pPr>
  </w:style>
  <w:style w:type="paragraph" w:customStyle="1" w:styleId="Bullets4">
    <w:name w:val="Bullets 4"/>
    <w:basedOn w:val="Bullets3"/>
    <w:uiPriority w:val="4"/>
    <w:unhideWhenUsed/>
    <w:rsid w:val="0075790A"/>
    <w:pPr>
      <w:numPr>
        <w:ilvl w:val="0"/>
        <w:numId w:val="0"/>
      </w:numPr>
      <w:tabs>
        <w:tab w:val="num" w:pos="1134"/>
      </w:tabs>
      <w:ind w:left="1134" w:hanging="283"/>
    </w:pPr>
  </w:style>
  <w:style w:type="paragraph" w:customStyle="1" w:styleId="Bullets5">
    <w:name w:val="Bullets 5"/>
    <w:basedOn w:val="Bullets4"/>
    <w:uiPriority w:val="4"/>
    <w:unhideWhenUsed/>
    <w:rsid w:val="0075790A"/>
  </w:style>
  <w:style w:type="character" w:customStyle="1" w:styleId="Mention1">
    <w:name w:val="Mention1"/>
    <w:basedOn w:val="DefaultParagraphFont"/>
    <w:uiPriority w:val="99"/>
    <w:semiHidden/>
    <w:unhideWhenUsed/>
    <w:rsid w:val="00C8378C"/>
    <w:rPr>
      <w:color w:val="2B579A"/>
      <w:shd w:val="clear" w:color="auto" w:fill="E6E6E6"/>
    </w:rPr>
  </w:style>
  <w:style w:type="character" w:styleId="CommentReference">
    <w:name w:val="annotation reference"/>
    <w:basedOn w:val="DefaultParagraphFont"/>
    <w:uiPriority w:val="99"/>
    <w:semiHidden/>
    <w:unhideWhenUsed/>
    <w:rsid w:val="0053470F"/>
    <w:rPr>
      <w:sz w:val="16"/>
      <w:szCs w:val="16"/>
    </w:rPr>
  </w:style>
  <w:style w:type="paragraph" w:styleId="CommentText">
    <w:name w:val="annotation text"/>
    <w:basedOn w:val="Normal"/>
    <w:link w:val="CommentTextChar"/>
    <w:uiPriority w:val="99"/>
    <w:semiHidden/>
    <w:unhideWhenUsed/>
    <w:rsid w:val="0053470F"/>
    <w:pPr>
      <w:spacing w:line="240" w:lineRule="auto"/>
    </w:pPr>
    <w:rPr>
      <w:sz w:val="20"/>
      <w:szCs w:val="20"/>
    </w:rPr>
  </w:style>
  <w:style w:type="character" w:customStyle="1" w:styleId="CommentTextChar">
    <w:name w:val="Comment Text Char"/>
    <w:basedOn w:val="DefaultParagraphFont"/>
    <w:link w:val="CommentText"/>
    <w:uiPriority w:val="99"/>
    <w:semiHidden/>
    <w:rsid w:val="0053470F"/>
  </w:style>
  <w:style w:type="paragraph" w:styleId="CommentSubject">
    <w:name w:val="annotation subject"/>
    <w:basedOn w:val="CommentText"/>
    <w:next w:val="CommentText"/>
    <w:link w:val="CommentSubjectChar"/>
    <w:uiPriority w:val="99"/>
    <w:semiHidden/>
    <w:unhideWhenUsed/>
    <w:rsid w:val="0053470F"/>
    <w:rPr>
      <w:b/>
      <w:bCs/>
    </w:rPr>
  </w:style>
  <w:style w:type="character" w:customStyle="1" w:styleId="CommentSubjectChar">
    <w:name w:val="Comment Subject Char"/>
    <w:basedOn w:val="CommentTextChar"/>
    <w:link w:val="CommentSubject"/>
    <w:uiPriority w:val="99"/>
    <w:semiHidden/>
    <w:rsid w:val="0053470F"/>
    <w:rPr>
      <w:b/>
      <w:bCs/>
    </w:rPr>
  </w:style>
  <w:style w:type="character" w:customStyle="1" w:styleId="UnresolvedMention1">
    <w:name w:val="Unresolved Mention1"/>
    <w:basedOn w:val="DefaultParagraphFont"/>
    <w:uiPriority w:val="99"/>
    <w:semiHidden/>
    <w:unhideWhenUsed/>
    <w:rsid w:val="003B3C39"/>
    <w:rPr>
      <w:color w:val="808080"/>
      <w:shd w:val="clear" w:color="auto" w:fill="E6E6E6"/>
    </w:rPr>
  </w:style>
  <w:style w:type="character" w:customStyle="1" w:styleId="UnresolvedMention2">
    <w:name w:val="Unresolved Mention2"/>
    <w:basedOn w:val="DefaultParagraphFont"/>
    <w:uiPriority w:val="99"/>
    <w:semiHidden/>
    <w:unhideWhenUsed/>
    <w:rsid w:val="007F441B"/>
    <w:rPr>
      <w:color w:val="808080"/>
      <w:shd w:val="clear" w:color="auto" w:fill="E6E6E6"/>
    </w:rPr>
  </w:style>
  <w:style w:type="paragraph" w:styleId="Revision">
    <w:name w:val="Revision"/>
    <w:hidden/>
    <w:uiPriority w:val="99"/>
    <w:semiHidden/>
    <w:rsid w:val="0040580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5087">
      <w:bodyDiv w:val="1"/>
      <w:marLeft w:val="0"/>
      <w:marRight w:val="0"/>
      <w:marTop w:val="0"/>
      <w:marBottom w:val="0"/>
      <w:divBdr>
        <w:top w:val="none" w:sz="0" w:space="0" w:color="auto"/>
        <w:left w:val="none" w:sz="0" w:space="0" w:color="auto"/>
        <w:bottom w:val="none" w:sz="0" w:space="0" w:color="auto"/>
        <w:right w:val="none" w:sz="0" w:space="0" w:color="auto"/>
      </w:divBdr>
    </w:div>
    <w:div w:id="57289355">
      <w:bodyDiv w:val="1"/>
      <w:marLeft w:val="0"/>
      <w:marRight w:val="0"/>
      <w:marTop w:val="0"/>
      <w:marBottom w:val="0"/>
      <w:divBdr>
        <w:top w:val="none" w:sz="0" w:space="0" w:color="auto"/>
        <w:left w:val="none" w:sz="0" w:space="0" w:color="auto"/>
        <w:bottom w:val="none" w:sz="0" w:space="0" w:color="auto"/>
        <w:right w:val="none" w:sz="0" w:space="0" w:color="auto"/>
      </w:divBdr>
    </w:div>
    <w:div w:id="177425721">
      <w:bodyDiv w:val="1"/>
      <w:marLeft w:val="0"/>
      <w:marRight w:val="0"/>
      <w:marTop w:val="0"/>
      <w:marBottom w:val="0"/>
      <w:divBdr>
        <w:top w:val="none" w:sz="0" w:space="0" w:color="auto"/>
        <w:left w:val="none" w:sz="0" w:space="0" w:color="auto"/>
        <w:bottom w:val="none" w:sz="0" w:space="0" w:color="auto"/>
        <w:right w:val="none" w:sz="0" w:space="0" w:color="auto"/>
      </w:divBdr>
    </w:div>
    <w:div w:id="182138873">
      <w:bodyDiv w:val="1"/>
      <w:marLeft w:val="0"/>
      <w:marRight w:val="0"/>
      <w:marTop w:val="0"/>
      <w:marBottom w:val="0"/>
      <w:divBdr>
        <w:top w:val="none" w:sz="0" w:space="0" w:color="auto"/>
        <w:left w:val="none" w:sz="0" w:space="0" w:color="auto"/>
        <w:bottom w:val="none" w:sz="0" w:space="0" w:color="auto"/>
        <w:right w:val="none" w:sz="0" w:space="0" w:color="auto"/>
      </w:divBdr>
    </w:div>
    <w:div w:id="233708062">
      <w:bodyDiv w:val="1"/>
      <w:marLeft w:val="0"/>
      <w:marRight w:val="0"/>
      <w:marTop w:val="0"/>
      <w:marBottom w:val="0"/>
      <w:divBdr>
        <w:top w:val="none" w:sz="0" w:space="0" w:color="auto"/>
        <w:left w:val="none" w:sz="0" w:space="0" w:color="auto"/>
        <w:bottom w:val="none" w:sz="0" w:space="0" w:color="auto"/>
        <w:right w:val="none" w:sz="0" w:space="0" w:color="auto"/>
      </w:divBdr>
    </w:div>
    <w:div w:id="237178331">
      <w:bodyDiv w:val="1"/>
      <w:marLeft w:val="0"/>
      <w:marRight w:val="0"/>
      <w:marTop w:val="0"/>
      <w:marBottom w:val="0"/>
      <w:divBdr>
        <w:top w:val="none" w:sz="0" w:space="0" w:color="auto"/>
        <w:left w:val="none" w:sz="0" w:space="0" w:color="auto"/>
        <w:bottom w:val="none" w:sz="0" w:space="0" w:color="auto"/>
        <w:right w:val="none" w:sz="0" w:space="0" w:color="auto"/>
      </w:divBdr>
    </w:div>
    <w:div w:id="263467525">
      <w:bodyDiv w:val="1"/>
      <w:marLeft w:val="0"/>
      <w:marRight w:val="0"/>
      <w:marTop w:val="0"/>
      <w:marBottom w:val="0"/>
      <w:divBdr>
        <w:top w:val="none" w:sz="0" w:space="0" w:color="auto"/>
        <w:left w:val="none" w:sz="0" w:space="0" w:color="auto"/>
        <w:bottom w:val="none" w:sz="0" w:space="0" w:color="auto"/>
        <w:right w:val="none" w:sz="0" w:space="0" w:color="auto"/>
      </w:divBdr>
    </w:div>
    <w:div w:id="272248508">
      <w:bodyDiv w:val="1"/>
      <w:marLeft w:val="0"/>
      <w:marRight w:val="0"/>
      <w:marTop w:val="0"/>
      <w:marBottom w:val="0"/>
      <w:divBdr>
        <w:top w:val="none" w:sz="0" w:space="0" w:color="auto"/>
        <w:left w:val="none" w:sz="0" w:space="0" w:color="auto"/>
        <w:bottom w:val="none" w:sz="0" w:space="0" w:color="auto"/>
        <w:right w:val="none" w:sz="0" w:space="0" w:color="auto"/>
      </w:divBdr>
    </w:div>
    <w:div w:id="275916395">
      <w:bodyDiv w:val="1"/>
      <w:marLeft w:val="0"/>
      <w:marRight w:val="0"/>
      <w:marTop w:val="0"/>
      <w:marBottom w:val="0"/>
      <w:divBdr>
        <w:top w:val="none" w:sz="0" w:space="0" w:color="auto"/>
        <w:left w:val="none" w:sz="0" w:space="0" w:color="auto"/>
        <w:bottom w:val="none" w:sz="0" w:space="0" w:color="auto"/>
        <w:right w:val="none" w:sz="0" w:space="0" w:color="auto"/>
      </w:divBdr>
    </w:div>
    <w:div w:id="339739836">
      <w:bodyDiv w:val="1"/>
      <w:marLeft w:val="0"/>
      <w:marRight w:val="0"/>
      <w:marTop w:val="0"/>
      <w:marBottom w:val="0"/>
      <w:divBdr>
        <w:top w:val="none" w:sz="0" w:space="0" w:color="auto"/>
        <w:left w:val="none" w:sz="0" w:space="0" w:color="auto"/>
        <w:bottom w:val="none" w:sz="0" w:space="0" w:color="auto"/>
        <w:right w:val="none" w:sz="0" w:space="0" w:color="auto"/>
      </w:divBdr>
    </w:div>
    <w:div w:id="350839252">
      <w:bodyDiv w:val="1"/>
      <w:marLeft w:val="0"/>
      <w:marRight w:val="0"/>
      <w:marTop w:val="0"/>
      <w:marBottom w:val="0"/>
      <w:divBdr>
        <w:top w:val="none" w:sz="0" w:space="0" w:color="auto"/>
        <w:left w:val="none" w:sz="0" w:space="0" w:color="auto"/>
        <w:bottom w:val="none" w:sz="0" w:space="0" w:color="auto"/>
        <w:right w:val="none" w:sz="0" w:space="0" w:color="auto"/>
      </w:divBdr>
    </w:div>
    <w:div w:id="395051154">
      <w:bodyDiv w:val="1"/>
      <w:marLeft w:val="0"/>
      <w:marRight w:val="0"/>
      <w:marTop w:val="0"/>
      <w:marBottom w:val="0"/>
      <w:divBdr>
        <w:top w:val="none" w:sz="0" w:space="0" w:color="auto"/>
        <w:left w:val="none" w:sz="0" w:space="0" w:color="auto"/>
        <w:bottom w:val="none" w:sz="0" w:space="0" w:color="auto"/>
        <w:right w:val="none" w:sz="0" w:space="0" w:color="auto"/>
      </w:divBdr>
    </w:div>
    <w:div w:id="460807699">
      <w:bodyDiv w:val="1"/>
      <w:marLeft w:val="0"/>
      <w:marRight w:val="0"/>
      <w:marTop w:val="0"/>
      <w:marBottom w:val="0"/>
      <w:divBdr>
        <w:top w:val="none" w:sz="0" w:space="0" w:color="auto"/>
        <w:left w:val="none" w:sz="0" w:space="0" w:color="auto"/>
        <w:bottom w:val="none" w:sz="0" w:space="0" w:color="auto"/>
        <w:right w:val="none" w:sz="0" w:space="0" w:color="auto"/>
      </w:divBdr>
    </w:div>
    <w:div w:id="676541940">
      <w:bodyDiv w:val="1"/>
      <w:marLeft w:val="0"/>
      <w:marRight w:val="0"/>
      <w:marTop w:val="0"/>
      <w:marBottom w:val="0"/>
      <w:divBdr>
        <w:top w:val="none" w:sz="0" w:space="0" w:color="auto"/>
        <w:left w:val="none" w:sz="0" w:space="0" w:color="auto"/>
        <w:bottom w:val="none" w:sz="0" w:space="0" w:color="auto"/>
        <w:right w:val="none" w:sz="0" w:space="0" w:color="auto"/>
      </w:divBdr>
    </w:div>
    <w:div w:id="705640119">
      <w:bodyDiv w:val="1"/>
      <w:marLeft w:val="0"/>
      <w:marRight w:val="0"/>
      <w:marTop w:val="0"/>
      <w:marBottom w:val="0"/>
      <w:divBdr>
        <w:top w:val="none" w:sz="0" w:space="0" w:color="auto"/>
        <w:left w:val="none" w:sz="0" w:space="0" w:color="auto"/>
        <w:bottom w:val="none" w:sz="0" w:space="0" w:color="auto"/>
        <w:right w:val="none" w:sz="0" w:space="0" w:color="auto"/>
      </w:divBdr>
    </w:div>
    <w:div w:id="711733192">
      <w:bodyDiv w:val="1"/>
      <w:marLeft w:val="0"/>
      <w:marRight w:val="0"/>
      <w:marTop w:val="0"/>
      <w:marBottom w:val="0"/>
      <w:divBdr>
        <w:top w:val="none" w:sz="0" w:space="0" w:color="auto"/>
        <w:left w:val="none" w:sz="0" w:space="0" w:color="auto"/>
        <w:bottom w:val="none" w:sz="0" w:space="0" w:color="auto"/>
        <w:right w:val="none" w:sz="0" w:space="0" w:color="auto"/>
      </w:divBdr>
    </w:div>
    <w:div w:id="840583434">
      <w:bodyDiv w:val="1"/>
      <w:marLeft w:val="0"/>
      <w:marRight w:val="0"/>
      <w:marTop w:val="0"/>
      <w:marBottom w:val="0"/>
      <w:divBdr>
        <w:top w:val="none" w:sz="0" w:space="0" w:color="auto"/>
        <w:left w:val="none" w:sz="0" w:space="0" w:color="auto"/>
        <w:bottom w:val="none" w:sz="0" w:space="0" w:color="auto"/>
        <w:right w:val="none" w:sz="0" w:space="0" w:color="auto"/>
      </w:divBdr>
    </w:div>
    <w:div w:id="845706636">
      <w:bodyDiv w:val="1"/>
      <w:marLeft w:val="0"/>
      <w:marRight w:val="0"/>
      <w:marTop w:val="0"/>
      <w:marBottom w:val="0"/>
      <w:divBdr>
        <w:top w:val="none" w:sz="0" w:space="0" w:color="auto"/>
        <w:left w:val="none" w:sz="0" w:space="0" w:color="auto"/>
        <w:bottom w:val="none" w:sz="0" w:space="0" w:color="auto"/>
        <w:right w:val="none" w:sz="0" w:space="0" w:color="auto"/>
      </w:divBdr>
    </w:div>
    <w:div w:id="851383317">
      <w:bodyDiv w:val="1"/>
      <w:marLeft w:val="0"/>
      <w:marRight w:val="0"/>
      <w:marTop w:val="0"/>
      <w:marBottom w:val="0"/>
      <w:divBdr>
        <w:top w:val="none" w:sz="0" w:space="0" w:color="auto"/>
        <w:left w:val="none" w:sz="0" w:space="0" w:color="auto"/>
        <w:bottom w:val="none" w:sz="0" w:space="0" w:color="auto"/>
        <w:right w:val="none" w:sz="0" w:space="0" w:color="auto"/>
      </w:divBdr>
    </w:div>
    <w:div w:id="970214384">
      <w:bodyDiv w:val="1"/>
      <w:marLeft w:val="0"/>
      <w:marRight w:val="0"/>
      <w:marTop w:val="0"/>
      <w:marBottom w:val="0"/>
      <w:divBdr>
        <w:top w:val="none" w:sz="0" w:space="0" w:color="auto"/>
        <w:left w:val="none" w:sz="0" w:space="0" w:color="auto"/>
        <w:bottom w:val="none" w:sz="0" w:space="0" w:color="auto"/>
        <w:right w:val="none" w:sz="0" w:space="0" w:color="auto"/>
      </w:divBdr>
    </w:div>
    <w:div w:id="1047728415">
      <w:bodyDiv w:val="1"/>
      <w:marLeft w:val="0"/>
      <w:marRight w:val="0"/>
      <w:marTop w:val="0"/>
      <w:marBottom w:val="0"/>
      <w:divBdr>
        <w:top w:val="none" w:sz="0" w:space="0" w:color="auto"/>
        <w:left w:val="none" w:sz="0" w:space="0" w:color="auto"/>
        <w:bottom w:val="none" w:sz="0" w:space="0" w:color="auto"/>
        <w:right w:val="none" w:sz="0" w:space="0" w:color="auto"/>
      </w:divBdr>
    </w:div>
    <w:div w:id="1087191000">
      <w:bodyDiv w:val="1"/>
      <w:marLeft w:val="0"/>
      <w:marRight w:val="0"/>
      <w:marTop w:val="0"/>
      <w:marBottom w:val="0"/>
      <w:divBdr>
        <w:top w:val="none" w:sz="0" w:space="0" w:color="auto"/>
        <w:left w:val="none" w:sz="0" w:space="0" w:color="auto"/>
        <w:bottom w:val="none" w:sz="0" w:space="0" w:color="auto"/>
        <w:right w:val="none" w:sz="0" w:space="0" w:color="auto"/>
      </w:divBdr>
    </w:div>
    <w:div w:id="1089231663">
      <w:bodyDiv w:val="1"/>
      <w:marLeft w:val="0"/>
      <w:marRight w:val="0"/>
      <w:marTop w:val="0"/>
      <w:marBottom w:val="0"/>
      <w:divBdr>
        <w:top w:val="none" w:sz="0" w:space="0" w:color="auto"/>
        <w:left w:val="none" w:sz="0" w:space="0" w:color="auto"/>
        <w:bottom w:val="none" w:sz="0" w:space="0" w:color="auto"/>
        <w:right w:val="none" w:sz="0" w:space="0" w:color="auto"/>
      </w:divBdr>
    </w:div>
    <w:div w:id="1229875923">
      <w:bodyDiv w:val="1"/>
      <w:marLeft w:val="0"/>
      <w:marRight w:val="0"/>
      <w:marTop w:val="0"/>
      <w:marBottom w:val="0"/>
      <w:divBdr>
        <w:top w:val="none" w:sz="0" w:space="0" w:color="auto"/>
        <w:left w:val="none" w:sz="0" w:space="0" w:color="auto"/>
        <w:bottom w:val="none" w:sz="0" w:space="0" w:color="auto"/>
        <w:right w:val="none" w:sz="0" w:space="0" w:color="auto"/>
      </w:divBdr>
    </w:div>
    <w:div w:id="1257978647">
      <w:bodyDiv w:val="1"/>
      <w:marLeft w:val="0"/>
      <w:marRight w:val="0"/>
      <w:marTop w:val="0"/>
      <w:marBottom w:val="0"/>
      <w:divBdr>
        <w:top w:val="none" w:sz="0" w:space="0" w:color="auto"/>
        <w:left w:val="none" w:sz="0" w:space="0" w:color="auto"/>
        <w:bottom w:val="none" w:sz="0" w:space="0" w:color="auto"/>
        <w:right w:val="none" w:sz="0" w:space="0" w:color="auto"/>
      </w:divBdr>
    </w:div>
    <w:div w:id="1278100686">
      <w:bodyDiv w:val="1"/>
      <w:marLeft w:val="0"/>
      <w:marRight w:val="0"/>
      <w:marTop w:val="0"/>
      <w:marBottom w:val="0"/>
      <w:divBdr>
        <w:top w:val="none" w:sz="0" w:space="0" w:color="auto"/>
        <w:left w:val="none" w:sz="0" w:space="0" w:color="auto"/>
        <w:bottom w:val="none" w:sz="0" w:space="0" w:color="auto"/>
        <w:right w:val="none" w:sz="0" w:space="0" w:color="auto"/>
      </w:divBdr>
    </w:div>
    <w:div w:id="1300498534">
      <w:bodyDiv w:val="1"/>
      <w:marLeft w:val="0"/>
      <w:marRight w:val="0"/>
      <w:marTop w:val="0"/>
      <w:marBottom w:val="0"/>
      <w:divBdr>
        <w:top w:val="none" w:sz="0" w:space="0" w:color="auto"/>
        <w:left w:val="none" w:sz="0" w:space="0" w:color="auto"/>
        <w:bottom w:val="none" w:sz="0" w:space="0" w:color="auto"/>
        <w:right w:val="none" w:sz="0" w:space="0" w:color="auto"/>
      </w:divBdr>
    </w:div>
    <w:div w:id="1317496200">
      <w:bodyDiv w:val="1"/>
      <w:marLeft w:val="0"/>
      <w:marRight w:val="0"/>
      <w:marTop w:val="0"/>
      <w:marBottom w:val="0"/>
      <w:divBdr>
        <w:top w:val="none" w:sz="0" w:space="0" w:color="auto"/>
        <w:left w:val="none" w:sz="0" w:space="0" w:color="auto"/>
        <w:bottom w:val="none" w:sz="0" w:space="0" w:color="auto"/>
        <w:right w:val="none" w:sz="0" w:space="0" w:color="auto"/>
      </w:divBdr>
    </w:div>
    <w:div w:id="1347246335">
      <w:bodyDiv w:val="1"/>
      <w:marLeft w:val="0"/>
      <w:marRight w:val="0"/>
      <w:marTop w:val="0"/>
      <w:marBottom w:val="0"/>
      <w:divBdr>
        <w:top w:val="none" w:sz="0" w:space="0" w:color="auto"/>
        <w:left w:val="none" w:sz="0" w:space="0" w:color="auto"/>
        <w:bottom w:val="none" w:sz="0" w:space="0" w:color="auto"/>
        <w:right w:val="none" w:sz="0" w:space="0" w:color="auto"/>
      </w:divBdr>
    </w:div>
    <w:div w:id="1386098154">
      <w:bodyDiv w:val="1"/>
      <w:marLeft w:val="0"/>
      <w:marRight w:val="0"/>
      <w:marTop w:val="0"/>
      <w:marBottom w:val="0"/>
      <w:divBdr>
        <w:top w:val="none" w:sz="0" w:space="0" w:color="auto"/>
        <w:left w:val="none" w:sz="0" w:space="0" w:color="auto"/>
        <w:bottom w:val="none" w:sz="0" w:space="0" w:color="auto"/>
        <w:right w:val="none" w:sz="0" w:space="0" w:color="auto"/>
      </w:divBdr>
    </w:div>
    <w:div w:id="1584879715">
      <w:bodyDiv w:val="1"/>
      <w:marLeft w:val="0"/>
      <w:marRight w:val="0"/>
      <w:marTop w:val="0"/>
      <w:marBottom w:val="0"/>
      <w:divBdr>
        <w:top w:val="none" w:sz="0" w:space="0" w:color="auto"/>
        <w:left w:val="none" w:sz="0" w:space="0" w:color="auto"/>
        <w:bottom w:val="none" w:sz="0" w:space="0" w:color="auto"/>
        <w:right w:val="none" w:sz="0" w:space="0" w:color="auto"/>
      </w:divBdr>
    </w:div>
    <w:div w:id="1603340128">
      <w:bodyDiv w:val="1"/>
      <w:marLeft w:val="0"/>
      <w:marRight w:val="0"/>
      <w:marTop w:val="0"/>
      <w:marBottom w:val="0"/>
      <w:divBdr>
        <w:top w:val="none" w:sz="0" w:space="0" w:color="auto"/>
        <w:left w:val="none" w:sz="0" w:space="0" w:color="auto"/>
        <w:bottom w:val="none" w:sz="0" w:space="0" w:color="auto"/>
        <w:right w:val="none" w:sz="0" w:space="0" w:color="auto"/>
      </w:divBdr>
    </w:div>
    <w:div w:id="1623225766">
      <w:bodyDiv w:val="1"/>
      <w:marLeft w:val="0"/>
      <w:marRight w:val="0"/>
      <w:marTop w:val="0"/>
      <w:marBottom w:val="0"/>
      <w:divBdr>
        <w:top w:val="none" w:sz="0" w:space="0" w:color="auto"/>
        <w:left w:val="none" w:sz="0" w:space="0" w:color="auto"/>
        <w:bottom w:val="none" w:sz="0" w:space="0" w:color="auto"/>
        <w:right w:val="none" w:sz="0" w:space="0" w:color="auto"/>
      </w:divBdr>
    </w:div>
    <w:div w:id="1649895480">
      <w:bodyDiv w:val="1"/>
      <w:marLeft w:val="0"/>
      <w:marRight w:val="0"/>
      <w:marTop w:val="0"/>
      <w:marBottom w:val="0"/>
      <w:divBdr>
        <w:top w:val="none" w:sz="0" w:space="0" w:color="auto"/>
        <w:left w:val="none" w:sz="0" w:space="0" w:color="auto"/>
        <w:bottom w:val="none" w:sz="0" w:space="0" w:color="auto"/>
        <w:right w:val="none" w:sz="0" w:space="0" w:color="auto"/>
      </w:divBdr>
    </w:div>
    <w:div w:id="1693722101">
      <w:bodyDiv w:val="1"/>
      <w:marLeft w:val="0"/>
      <w:marRight w:val="0"/>
      <w:marTop w:val="0"/>
      <w:marBottom w:val="0"/>
      <w:divBdr>
        <w:top w:val="none" w:sz="0" w:space="0" w:color="auto"/>
        <w:left w:val="none" w:sz="0" w:space="0" w:color="auto"/>
        <w:bottom w:val="none" w:sz="0" w:space="0" w:color="auto"/>
        <w:right w:val="none" w:sz="0" w:space="0" w:color="auto"/>
      </w:divBdr>
    </w:div>
    <w:div w:id="1725835610">
      <w:bodyDiv w:val="1"/>
      <w:marLeft w:val="0"/>
      <w:marRight w:val="0"/>
      <w:marTop w:val="0"/>
      <w:marBottom w:val="0"/>
      <w:divBdr>
        <w:top w:val="none" w:sz="0" w:space="0" w:color="auto"/>
        <w:left w:val="none" w:sz="0" w:space="0" w:color="auto"/>
        <w:bottom w:val="none" w:sz="0" w:space="0" w:color="auto"/>
        <w:right w:val="none" w:sz="0" w:space="0" w:color="auto"/>
      </w:divBdr>
    </w:div>
    <w:div w:id="1744063770">
      <w:bodyDiv w:val="1"/>
      <w:marLeft w:val="0"/>
      <w:marRight w:val="0"/>
      <w:marTop w:val="0"/>
      <w:marBottom w:val="0"/>
      <w:divBdr>
        <w:top w:val="none" w:sz="0" w:space="0" w:color="auto"/>
        <w:left w:val="none" w:sz="0" w:space="0" w:color="auto"/>
        <w:bottom w:val="none" w:sz="0" w:space="0" w:color="auto"/>
        <w:right w:val="none" w:sz="0" w:space="0" w:color="auto"/>
      </w:divBdr>
    </w:div>
    <w:div w:id="1763379322">
      <w:bodyDiv w:val="1"/>
      <w:marLeft w:val="0"/>
      <w:marRight w:val="0"/>
      <w:marTop w:val="0"/>
      <w:marBottom w:val="0"/>
      <w:divBdr>
        <w:top w:val="none" w:sz="0" w:space="0" w:color="auto"/>
        <w:left w:val="none" w:sz="0" w:space="0" w:color="auto"/>
        <w:bottom w:val="none" w:sz="0" w:space="0" w:color="auto"/>
        <w:right w:val="none" w:sz="0" w:space="0" w:color="auto"/>
      </w:divBdr>
    </w:div>
    <w:div w:id="1800368748">
      <w:bodyDiv w:val="1"/>
      <w:marLeft w:val="0"/>
      <w:marRight w:val="0"/>
      <w:marTop w:val="0"/>
      <w:marBottom w:val="0"/>
      <w:divBdr>
        <w:top w:val="none" w:sz="0" w:space="0" w:color="auto"/>
        <w:left w:val="none" w:sz="0" w:space="0" w:color="auto"/>
        <w:bottom w:val="none" w:sz="0" w:space="0" w:color="auto"/>
        <w:right w:val="none" w:sz="0" w:space="0" w:color="auto"/>
      </w:divBdr>
    </w:div>
    <w:div w:id="1804539020">
      <w:bodyDiv w:val="1"/>
      <w:marLeft w:val="0"/>
      <w:marRight w:val="0"/>
      <w:marTop w:val="0"/>
      <w:marBottom w:val="0"/>
      <w:divBdr>
        <w:top w:val="none" w:sz="0" w:space="0" w:color="auto"/>
        <w:left w:val="none" w:sz="0" w:space="0" w:color="auto"/>
        <w:bottom w:val="none" w:sz="0" w:space="0" w:color="auto"/>
        <w:right w:val="none" w:sz="0" w:space="0" w:color="auto"/>
      </w:divBdr>
    </w:div>
    <w:div w:id="1924100439">
      <w:bodyDiv w:val="1"/>
      <w:marLeft w:val="0"/>
      <w:marRight w:val="0"/>
      <w:marTop w:val="0"/>
      <w:marBottom w:val="0"/>
      <w:divBdr>
        <w:top w:val="none" w:sz="0" w:space="0" w:color="auto"/>
        <w:left w:val="none" w:sz="0" w:space="0" w:color="auto"/>
        <w:bottom w:val="none" w:sz="0" w:space="0" w:color="auto"/>
        <w:right w:val="none" w:sz="0" w:space="0" w:color="auto"/>
      </w:divBdr>
    </w:div>
    <w:div w:id="1948076592">
      <w:bodyDiv w:val="1"/>
      <w:marLeft w:val="0"/>
      <w:marRight w:val="0"/>
      <w:marTop w:val="0"/>
      <w:marBottom w:val="0"/>
      <w:divBdr>
        <w:top w:val="none" w:sz="0" w:space="0" w:color="auto"/>
        <w:left w:val="none" w:sz="0" w:space="0" w:color="auto"/>
        <w:bottom w:val="none" w:sz="0" w:space="0" w:color="auto"/>
        <w:right w:val="none" w:sz="0" w:space="0" w:color="auto"/>
      </w:divBdr>
    </w:div>
    <w:div w:id="2004967212">
      <w:bodyDiv w:val="1"/>
      <w:marLeft w:val="0"/>
      <w:marRight w:val="0"/>
      <w:marTop w:val="0"/>
      <w:marBottom w:val="0"/>
      <w:divBdr>
        <w:top w:val="none" w:sz="0" w:space="0" w:color="auto"/>
        <w:left w:val="none" w:sz="0" w:space="0" w:color="auto"/>
        <w:bottom w:val="none" w:sz="0" w:space="0" w:color="auto"/>
        <w:right w:val="none" w:sz="0" w:space="0" w:color="auto"/>
      </w:divBdr>
    </w:div>
    <w:div w:id="2027831578">
      <w:bodyDiv w:val="1"/>
      <w:marLeft w:val="0"/>
      <w:marRight w:val="0"/>
      <w:marTop w:val="0"/>
      <w:marBottom w:val="0"/>
      <w:divBdr>
        <w:top w:val="none" w:sz="0" w:space="0" w:color="auto"/>
        <w:left w:val="none" w:sz="0" w:space="0" w:color="auto"/>
        <w:bottom w:val="none" w:sz="0" w:space="0" w:color="auto"/>
        <w:right w:val="none" w:sz="0" w:space="0" w:color="auto"/>
      </w:divBdr>
    </w:div>
    <w:div w:id="203804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becca.hansford@afme.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fme.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theme/theme1.xml><?xml version="1.0" encoding="utf-8"?>
<a:theme xmlns:a="http://schemas.openxmlformats.org/drawingml/2006/main" name="AFME">
  <a:themeElements>
    <a:clrScheme name="AFME">
      <a:dk1>
        <a:sysClr val="windowText" lastClr="000000"/>
      </a:dk1>
      <a:lt1>
        <a:sysClr val="window" lastClr="FFFFFF"/>
      </a:lt1>
      <a:dk2>
        <a:srgbClr val="58595B"/>
      </a:dk2>
      <a:lt2>
        <a:srgbClr val="CFD0D2"/>
      </a:lt2>
      <a:accent1>
        <a:srgbClr val="78A22F"/>
      </a:accent1>
      <a:accent2>
        <a:srgbClr val="C9DAAC"/>
      </a:accent2>
      <a:accent3>
        <a:srgbClr val="CFD0D2"/>
      </a:accent3>
      <a:accent4>
        <a:srgbClr val="A7A9AC"/>
      </a:accent4>
      <a:accent5>
        <a:srgbClr val="808285"/>
      </a:accent5>
      <a:accent6>
        <a:srgbClr val="58595B"/>
      </a:accent6>
      <a:hlink>
        <a:srgbClr val="0000FF"/>
      </a:hlink>
      <a:folHlink>
        <a:srgbClr val="800080"/>
      </a:folHlink>
    </a:clrScheme>
    <a:fontScheme name="AFME">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FME" id="{46E60531-B48E-4EE8-9BA3-C3F6A6429AB7}" vid="{DFAD1022-53B1-402F-87A4-C9D8E056B1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AAE0B-2F4F-432B-99E9-103910EDE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1744</Words>
  <Characters>9943</Characters>
  <Application>Microsoft Office Word</Application>
  <DocSecurity>0</DocSecurity>
  <Lines>82</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www.hltrad.com</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HL TRAD</dc:creator>
  <cp:lastModifiedBy>Hansford, Rebecca</cp:lastModifiedBy>
  <cp:revision>2</cp:revision>
  <cp:lastPrinted>2019-09-20T13:43:00Z</cp:lastPrinted>
  <dcterms:created xsi:type="dcterms:W3CDTF">2019-10-14T08:51:00Z</dcterms:created>
  <dcterms:modified xsi:type="dcterms:W3CDTF">2019-10-14T08:51:00Z</dcterms:modified>
</cp:coreProperties>
</file>