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C99C32C" w14:textId="1A9D185F" w:rsidR="00DE37D4" w:rsidRDefault="00DE37D4"/>
    <w:tbl>
      <w:tblPr>
        <w:tblStyle w:val="a"/>
        <w:tblW w:w="1032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22"/>
      </w:tblGrid>
      <w:tr w:rsidR="00DE37D4" w14:paraId="5C99C330" w14:textId="77777777" w:rsidTr="6BC45BA5">
        <w:tc>
          <w:tcPr>
            <w:tcW w:w="10322" w:type="dxa"/>
            <w:tcBorders>
              <w:top w:val="single" w:sz="8" w:space="0" w:color="78A22F"/>
              <w:left w:val="nil"/>
              <w:bottom w:val="single" w:sz="8" w:space="0" w:color="78A22F"/>
              <w:right w:val="nil"/>
            </w:tcBorders>
            <w:tcMar>
              <w:top w:w="100" w:type="dxa"/>
              <w:left w:w="100" w:type="dxa"/>
              <w:bottom w:w="100" w:type="dxa"/>
              <w:right w:w="100" w:type="dxa"/>
            </w:tcMar>
          </w:tcPr>
          <w:p w14:paraId="5C99C32D" w14:textId="77777777" w:rsidR="00DE37D4" w:rsidRDefault="00485437">
            <w:pPr>
              <w:widowControl w:val="0"/>
              <w:pBdr>
                <w:top w:val="nil"/>
                <w:left w:val="nil"/>
                <w:bottom w:val="nil"/>
                <w:right w:val="nil"/>
                <w:between w:val="nil"/>
              </w:pBdr>
              <w:ind w:left="-90"/>
              <w:rPr>
                <w:rFonts w:ascii="Gelasio" w:eastAsia="Gelasio" w:hAnsi="Gelasio" w:cs="Gelasio"/>
                <w:b/>
                <w:color w:val="78A22F"/>
                <w:sz w:val="32"/>
                <w:szCs w:val="32"/>
              </w:rPr>
            </w:pPr>
            <w:r>
              <w:rPr>
                <w:rFonts w:ascii="Gelasio" w:eastAsia="Gelasio" w:hAnsi="Gelasio" w:cs="Gelasio"/>
                <w:b/>
                <w:color w:val="78A22F"/>
                <w:sz w:val="32"/>
                <w:szCs w:val="32"/>
              </w:rPr>
              <w:t>Press release</w:t>
            </w:r>
          </w:p>
          <w:p w14:paraId="2555D6E0" w14:textId="1BFB71BA" w:rsidR="00695455" w:rsidRDefault="00310616" w:rsidP="6BC45BA5">
            <w:pPr>
              <w:widowControl w:val="0"/>
              <w:pBdr>
                <w:top w:val="nil"/>
                <w:left w:val="nil"/>
                <w:bottom w:val="nil"/>
                <w:right w:val="nil"/>
                <w:between w:val="nil"/>
              </w:pBdr>
              <w:ind w:left="-90"/>
              <w:rPr>
                <w:rFonts w:ascii="Gelasio" w:eastAsia="Gelasio" w:hAnsi="Gelasio" w:cs="Gelasio"/>
                <w:b/>
                <w:bCs/>
                <w:sz w:val="26"/>
                <w:szCs w:val="26"/>
                <w:lang w:val="en-US"/>
              </w:rPr>
            </w:pPr>
            <w:r w:rsidRPr="6BC45BA5">
              <w:rPr>
                <w:rFonts w:ascii="Gelasio" w:eastAsia="Gelasio" w:hAnsi="Gelasio" w:cs="Gelasio"/>
                <w:b/>
                <w:bCs/>
                <w:sz w:val="26"/>
                <w:szCs w:val="26"/>
                <w:lang w:val="en-US"/>
              </w:rPr>
              <w:t>Banks</w:t>
            </w:r>
            <w:r w:rsidR="00695455" w:rsidRPr="6BC45BA5">
              <w:rPr>
                <w:rFonts w:ascii="Gelasio" w:eastAsia="Gelasio" w:hAnsi="Gelasio" w:cs="Gelasio"/>
                <w:b/>
                <w:bCs/>
                <w:sz w:val="26"/>
                <w:szCs w:val="26"/>
                <w:lang w:val="en-US"/>
              </w:rPr>
              <w:t xml:space="preserve"> Urge Simplification </w:t>
            </w:r>
            <w:r w:rsidR="18A02FE1" w:rsidRPr="6BC45BA5">
              <w:rPr>
                <w:rFonts w:ascii="Gelasio" w:eastAsia="Gelasio" w:hAnsi="Gelasio" w:cs="Gelasio"/>
                <w:b/>
                <w:bCs/>
                <w:sz w:val="26"/>
                <w:szCs w:val="26"/>
                <w:lang w:val="en-US"/>
              </w:rPr>
              <w:t xml:space="preserve">of </w:t>
            </w:r>
            <w:r w:rsidR="7DB53946" w:rsidRPr="6BC45BA5">
              <w:rPr>
                <w:rFonts w:ascii="Gelasio" w:eastAsia="Gelasio" w:hAnsi="Gelasio" w:cs="Gelasio"/>
                <w:b/>
                <w:bCs/>
                <w:sz w:val="26"/>
                <w:szCs w:val="26"/>
                <w:lang w:val="en-US"/>
              </w:rPr>
              <w:t xml:space="preserve">EU </w:t>
            </w:r>
            <w:r w:rsidR="18A02FE1" w:rsidRPr="6BC45BA5">
              <w:rPr>
                <w:rFonts w:ascii="Gelasio" w:eastAsia="Gelasio" w:hAnsi="Gelasio" w:cs="Gelasio"/>
                <w:b/>
                <w:bCs/>
                <w:sz w:val="26"/>
                <w:szCs w:val="26"/>
                <w:lang w:val="en-US"/>
              </w:rPr>
              <w:t xml:space="preserve">Digital Rules </w:t>
            </w:r>
            <w:r w:rsidR="00695455" w:rsidRPr="6BC45BA5">
              <w:rPr>
                <w:rFonts w:ascii="Gelasio" w:eastAsia="Gelasio" w:hAnsi="Gelasio" w:cs="Gelasio"/>
                <w:b/>
                <w:bCs/>
                <w:sz w:val="26"/>
                <w:szCs w:val="26"/>
                <w:lang w:val="en-US"/>
              </w:rPr>
              <w:t xml:space="preserve">to Unlock Innovation and </w:t>
            </w:r>
            <w:r w:rsidR="1199F8FF" w:rsidRPr="6BC45BA5">
              <w:rPr>
                <w:rFonts w:ascii="Gelasio" w:eastAsia="Gelasio" w:hAnsi="Gelasio" w:cs="Gelasio"/>
                <w:b/>
                <w:bCs/>
                <w:sz w:val="26"/>
                <w:szCs w:val="26"/>
                <w:lang w:val="en-US"/>
              </w:rPr>
              <w:t xml:space="preserve">Boost </w:t>
            </w:r>
            <w:r w:rsidR="00695455" w:rsidRPr="6BC45BA5">
              <w:rPr>
                <w:rFonts w:ascii="Gelasio" w:eastAsia="Gelasio" w:hAnsi="Gelasio" w:cs="Gelasio"/>
                <w:b/>
                <w:bCs/>
                <w:sz w:val="26"/>
                <w:szCs w:val="26"/>
                <w:lang w:val="en-US"/>
              </w:rPr>
              <w:t>Competitiveness</w:t>
            </w:r>
          </w:p>
          <w:p w14:paraId="5C99C32F" w14:textId="125F8AC8" w:rsidR="00DE37D4" w:rsidRDefault="00A309A9">
            <w:pPr>
              <w:widowControl w:val="0"/>
              <w:pBdr>
                <w:top w:val="nil"/>
                <w:left w:val="nil"/>
                <w:bottom w:val="nil"/>
                <w:right w:val="nil"/>
                <w:between w:val="nil"/>
              </w:pBdr>
              <w:ind w:left="-90"/>
              <w:rPr>
                <w:sz w:val="22"/>
                <w:szCs w:val="22"/>
              </w:rPr>
            </w:pPr>
            <w:r w:rsidRPr="00765803">
              <w:rPr>
                <w:sz w:val="22"/>
                <w:szCs w:val="22"/>
              </w:rPr>
              <w:t>24</w:t>
            </w:r>
            <w:r w:rsidR="00D057C4" w:rsidRPr="00765803">
              <w:rPr>
                <w:sz w:val="22"/>
                <w:szCs w:val="22"/>
              </w:rPr>
              <w:t xml:space="preserve"> September 2025</w:t>
            </w:r>
            <w:r w:rsidR="00EE009D" w:rsidRPr="00765803">
              <w:rPr>
                <w:sz w:val="22"/>
                <w:szCs w:val="22"/>
              </w:rPr>
              <w:t xml:space="preserve"> </w:t>
            </w:r>
          </w:p>
        </w:tc>
      </w:tr>
    </w:tbl>
    <w:p w14:paraId="5C99C331" w14:textId="77777777" w:rsidR="00DE37D4" w:rsidRPr="00385A4A" w:rsidRDefault="00DE37D4">
      <w:pPr>
        <w:rPr>
          <w:lang w:val="en-GB"/>
        </w:rPr>
      </w:pPr>
    </w:p>
    <w:p w14:paraId="24F5B690" w14:textId="11E81393" w:rsidR="003505CF" w:rsidRPr="00DA1009" w:rsidRDefault="00385A4A" w:rsidP="00DB3739">
      <w:pPr>
        <w:pStyle w:val="ListParagraph"/>
        <w:numPr>
          <w:ilvl w:val="0"/>
          <w:numId w:val="7"/>
        </w:numPr>
        <w:jc w:val="both"/>
        <w:rPr>
          <w:b/>
          <w:bCs/>
          <w:lang w:val="en-GB"/>
        </w:rPr>
      </w:pPr>
      <w:r w:rsidRPr="27126B25">
        <w:rPr>
          <w:b/>
          <w:bCs/>
          <w:lang w:val="en-GB"/>
        </w:rPr>
        <w:t xml:space="preserve">The rapidly </w:t>
      </w:r>
      <w:r w:rsidR="00134F6A" w:rsidRPr="27126B25">
        <w:rPr>
          <w:b/>
          <w:bCs/>
          <w:lang w:val="en-GB"/>
        </w:rPr>
        <w:t xml:space="preserve">developing </w:t>
      </w:r>
      <w:r w:rsidRPr="27126B25">
        <w:rPr>
          <w:b/>
          <w:bCs/>
          <w:lang w:val="en-GB"/>
        </w:rPr>
        <w:t>European</w:t>
      </w:r>
      <w:r w:rsidR="00134F6A" w:rsidRPr="27126B25">
        <w:rPr>
          <w:b/>
          <w:bCs/>
          <w:lang w:val="en-GB"/>
        </w:rPr>
        <w:t xml:space="preserve"> digital finance</w:t>
      </w:r>
      <w:r w:rsidRPr="27126B25">
        <w:rPr>
          <w:b/>
          <w:bCs/>
          <w:lang w:val="en-GB"/>
        </w:rPr>
        <w:t xml:space="preserve"> sector is facing </w:t>
      </w:r>
      <w:r w:rsidR="624E89A9" w:rsidRPr="27126B25">
        <w:rPr>
          <w:b/>
          <w:bCs/>
          <w:lang w:val="en-GB"/>
        </w:rPr>
        <w:t xml:space="preserve">considerable </w:t>
      </w:r>
      <w:r w:rsidRPr="27126B25">
        <w:rPr>
          <w:b/>
          <w:bCs/>
          <w:lang w:val="en-GB"/>
        </w:rPr>
        <w:t xml:space="preserve">regulatory complexity that threatens innovation, competitiveness, and operational efficiency. </w:t>
      </w:r>
    </w:p>
    <w:p w14:paraId="5C99C334" w14:textId="1E0EA58B" w:rsidR="00DE37D4" w:rsidRPr="00DA1009" w:rsidRDefault="00AB5673" w:rsidP="00DB3739">
      <w:pPr>
        <w:pStyle w:val="ListParagraph"/>
        <w:numPr>
          <w:ilvl w:val="0"/>
          <w:numId w:val="7"/>
        </w:numPr>
        <w:jc w:val="both"/>
        <w:rPr>
          <w:b/>
          <w:bCs/>
          <w:lang w:val="en-GB"/>
        </w:rPr>
      </w:pPr>
      <w:r>
        <w:rPr>
          <w:b/>
          <w:bCs/>
          <w:lang w:val="en-GB"/>
        </w:rPr>
        <w:t>T</w:t>
      </w:r>
      <w:r w:rsidR="00310616" w:rsidRPr="00DA1009">
        <w:rPr>
          <w:b/>
          <w:bCs/>
          <w:lang w:val="en-GB"/>
        </w:rPr>
        <w:t>he Association for Financial Markets in Europe (</w:t>
      </w:r>
      <w:r w:rsidR="00385A4A" w:rsidRPr="00DA1009">
        <w:rPr>
          <w:b/>
          <w:bCs/>
          <w:lang w:val="en-GB"/>
        </w:rPr>
        <w:t>AFME</w:t>
      </w:r>
      <w:r w:rsidR="00310616" w:rsidRPr="00DA1009">
        <w:rPr>
          <w:b/>
          <w:bCs/>
          <w:lang w:val="en-GB"/>
        </w:rPr>
        <w:t>)</w:t>
      </w:r>
      <w:r w:rsidR="00385A4A" w:rsidRPr="00DA1009">
        <w:rPr>
          <w:b/>
          <w:bCs/>
          <w:lang w:val="en-GB"/>
        </w:rPr>
        <w:t xml:space="preserve"> today </w:t>
      </w:r>
      <w:r w:rsidR="004E0EF5">
        <w:rPr>
          <w:b/>
          <w:bCs/>
          <w:lang w:val="en-GB"/>
        </w:rPr>
        <w:t>sets out key proposals to help</w:t>
      </w:r>
      <w:r w:rsidR="00385A4A" w:rsidRPr="00DA1009">
        <w:rPr>
          <w:b/>
          <w:bCs/>
          <w:lang w:val="en-GB"/>
        </w:rPr>
        <w:t xml:space="preserve"> prioritise simplification across digital finance, cybersecurity, AI, and data access regulations</w:t>
      </w:r>
      <w:r w:rsidR="00973467">
        <w:rPr>
          <w:b/>
          <w:bCs/>
          <w:lang w:val="en-GB"/>
        </w:rPr>
        <w:t>, ah</w:t>
      </w:r>
      <w:r w:rsidR="00973467" w:rsidRPr="00DA1009">
        <w:rPr>
          <w:b/>
          <w:bCs/>
          <w:lang w:val="en-GB"/>
        </w:rPr>
        <w:t>ead of the Commission’s upcoming Digital Omnibus</w:t>
      </w:r>
      <w:r w:rsidR="00973467">
        <w:rPr>
          <w:b/>
          <w:bCs/>
          <w:lang w:val="en-GB"/>
        </w:rPr>
        <w:t>.</w:t>
      </w:r>
    </w:p>
    <w:p w14:paraId="0A083432" w14:textId="67B399F4" w:rsidR="00334948" w:rsidRPr="00334948" w:rsidRDefault="00334948" w:rsidP="0072627D">
      <w:pPr>
        <w:jc w:val="both"/>
        <w:rPr>
          <w:lang w:val="en-GB"/>
        </w:rPr>
      </w:pPr>
      <w:r>
        <w:br/>
      </w:r>
      <w:r w:rsidRPr="6BC45BA5">
        <w:rPr>
          <w:b/>
          <w:bCs/>
          <w:lang w:val="en-GB"/>
        </w:rPr>
        <w:t>Adam Farkas, CEO of AFME, said</w:t>
      </w:r>
      <w:r w:rsidRPr="6BC45BA5">
        <w:rPr>
          <w:i/>
          <w:iCs/>
          <w:lang w:val="en-GB"/>
        </w:rPr>
        <w:t>: “Europe’s financial sector cannot compete globally under unnecessary regulatory complexity</w:t>
      </w:r>
      <w:r w:rsidR="00713AC7" w:rsidRPr="6BC45BA5">
        <w:rPr>
          <w:i/>
          <w:iCs/>
          <w:lang w:val="en-GB"/>
        </w:rPr>
        <w:t xml:space="preserve">. </w:t>
      </w:r>
      <w:r w:rsidRPr="6BC45BA5">
        <w:rPr>
          <w:i/>
          <w:iCs/>
          <w:lang w:val="en-GB"/>
        </w:rPr>
        <w:t xml:space="preserve">Simplification must become a central pillar of EU financial policy — cutting duplication, aligning rules with </w:t>
      </w:r>
      <w:r w:rsidR="7EDA1600" w:rsidRPr="6BC45BA5">
        <w:rPr>
          <w:i/>
          <w:iCs/>
          <w:lang w:val="en-GB"/>
        </w:rPr>
        <w:t xml:space="preserve">expected </w:t>
      </w:r>
      <w:r w:rsidRPr="6BC45BA5">
        <w:rPr>
          <w:i/>
          <w:iCs/>
          <w:lang w:val="en-GB"/>
        </w:rPr>
        <w:t>outcomes, and providing clarity to support innovation, operational resilience, and global competitiveness</w:t>
      </w:r>
      <w:r w:rsidRPr="6BC45BA5">
        <w:rPr>
          <w:lang w:val="en-GB"/>
        </w:rPr>
        <w:t>.</w:t>
      </w:r>
      <w:r w:rsidR="71E88111" w:rsidRPr="6BC45BA5">
        <w:rPr>
          <w:lang w:val="en-GB"/>
        </w:rPr>
        <w:t xml:space="preserve"> </w:t>
      </w:r>
      <w:r w:rsidR="71E88111" w:rsidRPr="6BC45BA5">
        <w:rPr>
          <w:i/>
          <w:iCs/>
          <w:lang w:val="en-GB"/>
        </w:rPr>
        <w:t xml:space="preserve">This is even more important in a context where financial institutions need to mobilise </w:t>
      </w:r>
      <w:r w:rsidR="5E59E165" w:rsidRPr="6BC45BA5">
        <w:rPr>
          <w:i/>
          <w:iCs/>
          <w:lang w:val="en-GB"/>
        </w:rPr>
        <w:t>extensive</w:t>
      </w:r>
      <w:r w:rsidR="71E88111" w:rsidRPr="6BC45BA5">
        <w:rPr>
          <w:i/>
          <w:iCs/>
          <w:lang w:val="en-GB"/>
        </w:rPr>
        <w:t xml:space="preserve"> resources to i</w:t>
      </w:r>
      <w:r w:rsidR="065BCFE9" w:rsidRPr="6BC45BA5">
        <w:rPr>
          <w:i/>
          <w:iCs/>
          <w:lang w:val="en-GB"/>
        </w:rPr>
        <w:t>mplement their digitalisation strategies.</w:t>
      </w:r>
      <w:r w:rsidR="25EFCAFE" w:rsidRPr="6BC45BA5">
        <w:rPr>
          <w:i/>
          <w:iCs/>
          <w:lang w:val="en-GB"/>
        </w:rPr>
        <w:t xml:space="preserve"> AFME welcomes the Commission’s commitment to address these issues through the upcoming Digital Omnibus</w:t>
      </w:r>
      <w:r w:rsidR="0B25813B" w:rsidRPr="6BC45BA5">
        <w:rPr>
          <w:i/>
          <w:iCs/>
          <w:lang w:val="en-GB"/>
        </w:rPr>
        <w:t>, it is a</w:t>
      </w:r>
      <w:r w:rsidR="7D378A1C" w:rsidRPr="6BC45BA5">
        <w:rPr>
          <w:i/>
          <w:iCs/>
          <w:lang w:val="en-GB"/>
        </w:rPr>
        <w:t xml:space="preserve"> major</w:t>
      </w:r>
      <w:r w:rsidR="0B25813B" w:rsidRPr="6BC45BA5">
        <w:rPr>
          <w:i/>
          <w:iCs/>
          <w:lang w:val="en-GB"/>
        </w:rPr>
        <w:t xml:space="preserve"> opportunity to address the important points highlighted in our </w:t>
      </w:r>
      <w:r w:rsidR="1CEEAC54" w:rsidRPr="6BC45BA5">
        <w:rPr>
          <w:i/>
          <w:iCs/>
          <w:lang w:val="en-GB"/>
        </w:rPr>
        <w:t xml:space="preserve">position </w:t>
      </w:r>
      <w:r w:rsidR="0B25813B" w:rsidRPr="6BC45BA5">
        <w:rPr>
          <w:i/>
          <w:iCs/>
          <w:lang w:val="en-GB"/>
        </w:rPr>
        <w:t>paper o</w:t>
      </w:r>
      <w:r w:rsidR="0B0454B9" w:rsidRPr="6BC45BA5">
        <w:rPr>
          <w:i/>
          <w:iCs/>
          <w:lang w:val="en-GB"/>
        </w:rPr>
        <w:t>n proposed simplification o</w:t>
      </w:r>
      <w:r w:rsidR="0B25813B" w:rsidRPr="6BC45BA5">
        <w:rPr>
          <w:i/>
          <w:iCs/>
          <w:lang w:val="en-GB"/>
        </w:rPr>
        <w:t xml:space="preserve">f digital finance </w:t>
      </w:r>
      <w:r w:rsidR="26EC8F26" w:rsidRPr="6BC45BA5">
        <w:rPr>
          <w:i/>
          <w:iCs/>
          <w:lang w:val="en-GB"/>
        </w:rPr>
        <w:t>rules</w:t>
      </w:r>
      <w:r w:rsidR="0B25813B" w:rsidRPr="6BC45BA5">
        <w:rPr>
          <w:i/>
          <w:iCs/>
          <w:lang w:val="en-GB"/>
        </w:rPr>
        <w:t>.</w:t>
      </w:r>
      <w:r w:rsidRPr="6BC45BA5">
        <w:rPr>
          <w:lang w:val="en-GB"/>
        </w:rPr>
        <w:t>”</w:t>
      </w:r>
    </w:p>
    <w:p w14:paraId="160408CE" w14:textId="77777777" w:rsidR="00334948" w:rsidRDefault="00334948" w:rsidP="00DB3739">
      <w:pPr>
        <w:rPr>
          <w:lang w:val="en-GB"/>
        </w:rPr>
      </w:pPr>
    </w:p>
    <w:p w14:paraId="505C2A81" w14:textId="6E86669E" w:rsidR="00310616" w:rsidRDefault="00E72605" w:rsidP="00DB3739">
      <w:pPr>
        <w:rPr>
          <w:lang w:val="en-GB"/>
        </w:rPr>
      </w:pPr>
      <w:r>
        <w:rPr>
          <w:lang w:val="en-GB"/>
        </w:rPr>
        <w:t xml:space="preserve">In a new paper published today, AFME </w:t>
      </w:r>
      <w:r w:rsidR="00C552B1">
        <w:rPr>
          <w:lang w:val="en-GB"/>
        </w:rPr>
        <w:t xml:space="preserve">sets out concrete proposals to </w:t>
      </w:r>
      <w:r w:rsidR="004E0EF5">
        <w:rPr>
          <w:lang w:val="en-GB"/>
        </w:rPr>
        <w:t xml:space="preserve">simplify </w:t>
      </w:r>
      <w:r w:rsidR="00B74833">
        <w:rPr>
          <w:lang w:val="en-GB"/>
        </w:rPr>
        <w:t>EU digital finance policy</w:t>
      </w:r>
      <w:r w:rsidR="00C81F83">
        <w:rPr>
          <w:lang w:val="en-GB"/>
        </w:rPr>
        <w:t xml:space="preserve">, including: </w:t>
      </w:r>
    </w:p>
    <w:p w14:paraId="042112E3" w14:textId="77777777" w:rsidR="00C81F83" w:rsidRPr="00C81F83" w:rsidRDefault="00C81F83" w:rsidP="00DB3739">
      <w:pPr>
        <w:rPr>
          <w:lang w:val="en-GB"/>
        </w:rPr>
      </w:pPr>
    </w:p>
    <w:p w14:paraId="6CBC8A6A" w14:textId="1DBD3A24" w:rsidR="00310616" w:rsidRPr="008176C3" w:rsidRDefault="00E873AE" w:rsidP="008176C3">
      <w:pPr>
        <w:pStyle w:val="ListParagraph"/>
        <w:numPr>
          <w:ilvl w:val="0"/>
          <w:numId w:val="8"/>
        </w:numPr>
        <w:rPr>
          <w:lang w:val="en-GB"/>
        </w:rPr>
      </w:pPr>
      <w:r w:rsidRPr="6BC45BA5">
        <w:rPr>
          <w:b/>
          <w:bCs/>
          <w:lang w:val="en-GB"/>
        </w:rPr>
        <w:t xml:space="preserve">Harmonising </w:t>
      </w:r>
      <w:r w:rsidR="00310616" w:rsidRPr="6BC45BA5">
        <w:rPr>
          <w:b/>
          <w:bCs/>
          <w:lang w:val="en-GB"/>
        </w:rPr>
        <w:t>Cybersecurity and Incident Reporting Challenges</w:t>
      </w:r>
      <w:r>
        <w:br/>
      </w:r>
      <w:r w:rsidR="00310616" w:rsidRPr="6BC45BA5">
        <w:rPr>
          <w:lang w:val="en-GB"/>
        </w:rPr>
        <w:t>The Digital Operational Resilience Act (DORA) has set a high standard for ICT and cyber risk management. However, overlaps with the Cyber Resilience Act (CRA) and other horizontal rules are creating duplicate reporting obligations, inefficiencies, and operational strain. AFME urges authorities to harmonise</w:t>
      </w:r>
      <w:r w:rsidR="2A62F8CC" w:rsidRPr="6BC45BA5">
        <w:rPr>
          <w:lang w:val="en-GB"/>
        </w:rPr>
        <w:t xml:space="preserve"> these</w:t>
      </w:r>
      <w:r w:rsidR="00310616" w:rsidRPr="6BC45BA5">
        <w:rPr>
          <w:lang w:val="en-GB"/>
        </w:rPr>
        <w:t xml:space="preserve"> frameworks and simplify incident reporting, focusing only on information relevant to risk management.</w:t>
      </w:r>
    </w:p>
    <w:p w14:paraId="35286548" w14:textId="77777777" w:rsidR="00310616" w:rsidRDefault="00310616" w:rsidP="00DB3739">
      <w:pPr>
        <w:rPr>
          <w:b/>
          <w:bCs/>
          <w:lang w:val="en-GB"/>
        </w:rPr>
      </w:pPr>
    </w:p>
    <w:p w14:paraId="1816FDBF" w14:textId="2305039D" w:rsidR="00310616" w:rsidRPr="008176C3" w:rsidRDefault="005C740C" w:rsidP="008176C3">
      <w:pPr>
        <w:pStyle w:val="ListParagraph"/>
        <w:numPr>
          <w:ilvl w:val="0"/>
          <w:numId w:val="8"/>
        </w:numPr>
        <w:rPr>
          <w:lang w:val="en-GB"/>
        </w:rPr>
      </w:pPr>
      <w:r w:rsidRPr="6BC45BA5">
        <w:rPr>
          <w:b/>
          <w:bCs/>
          <w:lang w:val="en-GB"/>
        </w:rPr>
        <w:t xml:space="preserve">Clarifying </w:t>
      </w:r>
      <w:r w:rsidR="00310616" w:rsidRPr="6BC45BA5">
        <w:rPr>
          <w:b/>
          <w:bCs/>
          <w:lang w:val="en-GB"/>
        </w:rPr>
        <w:t>Artificial Intelligence (AI) Regulation</w:t>
      </w:r>
      <w:r>
        <w:br/>
      </w:r>
      <w:r w:rsidR="00310616" w:rsidRPr="6BC45BA5">
        <w:rPr>
          <w:lang w:val="en-GB"/>
        </w:rPr>
        <w:t xml:space="preserve">Ambiguities in the EU AI Act — including definitions of high-risk AI, general-purpose AI, and substantial modifications — risk creating </w:t>
      </w:r>
      <w:r w:rsidR="3688F85D" w:rsidRPr="6BC45BA5">
        <w:rPr>
          <w:lang w:val="en-GB"/>
        </w:rPr>
        <w:t xml:space="preserve">legal uncertainties resulting in slower AI adoption and </w:t>
      </w:r>
      <w:r w:rsidR="00310616" w:rsidRPr="6BC45BA5">
        <w:rPr>
          <w:lang w:val="en-GB"/>
        </w:rPr>
        <w:t>unnecessary compliance burdens for financial services. AFME calls for clear, proportionate guidance to ensure financial institutions can deploy AI responsibly and effectively without being hampered by overlapping rules</w:t>
      </w:r>
      <w:r w:rsidR="2C216509" w:rsidRPr="6BC45BA5">
        <w:rPr>
          <w:lang w:val="en-GB"/>
        </w:rPr>
        <w:t xml:space="preserve"> and requirements</w:t>
      </w:r>
      <w:r w:rsidR="00310616" w:rsidRPr="6BC45BA5">
        <w:rPr>
          <w:lang w:val="en-GB"/>
        </w:rPr>
        <w:t>.</w:t>
      </w:r>
    </w:p>
    <w:p w14:paraId="5C412EF7" w14:textId="77777777" w:rsidR="00310616" w:rsidRDefault="00310616" w:rsidP="0072627D">
      <w:pPr>
        <w:rPr>
          <w:b/>
          <w:bCs/>
          <w:lang w:val="en-GB"/>
        </w:rPr>
      </w:pPr>
    </w:p>
    <w:p w14:paraId="451137F7" w14:textId="0DD6068F" w:rsidR="00310616" w:rsidRPr="008176C3" w:rsidRDefault="008D77DA" w:rsidP="0072627D">
      <w:pPr>
        <w:pStyle w:val="ListParagraph"/>
        <w:numPr>
          <w:ilvl w:val="0"/>
          <w:numId w:val="8"/>
        </w:numPr>
        <w:rPr>
          <w:lang w:val="en-GB"/>
        </w:rPr>
      </w:pPr>
      <w:r>
        <w:rPr>
          <w:b/>
          <w:bCs/>
          <w:lang w:val="en-GB"/>
        </w:rPr>
        <w:t xml:space="preserve">Europe must rethink </w:t>
      </w:r>
      <w:r w:rsidR="00310616" w:rsidRPr="27126B25">
        <w:rPr>
          <w:b/>
          <w:bCs/>
          <w:lang w:val="en-GB"/>
        </w:rPr>
        <w:t>Financial Data Access (</w:t>
      </w:r>
      <w:proofErr w:type="spellStart"/>
      <w:r w:rsidR="00310616" w:rsidRPr="27126B25">
        <w:rPr>
          <w:b/>
          <w:bCs/>
          <w:lang w:val="en-GB"/>
        </w:rPr>
        <w:t>FiDA</w:t>
      </w:r>
      <w:proofErr w:type="spellEnd"/>
      <w:r w:rsidR="00310616" w:rsidRPr="27126B25">
        <w:rPr>
          <w:b/>
          <w:bCs/>
          <w:lang w:val="en-GB"/>
        </w:rPr>
        <w:t>)</w:t>
      </w:r>
      <w:r w:rsidR="009C7260" w:rsidRPr="27126B25">
        <w:rPr>
          <w:b/>
          <w:bCs/>
          <w:lang w:val="en-GB"/>
        </w:rPr>
        <w:t xml:space="preserve"> </w:t>
      </w:r>
      <w:r w:rsidR="00310616">
        <w:br/>
      </w:r>
      <w:r w:rsidR="00310616" w:rsidRPr="27126B25">
        <w:rPr>
          <w:lang w:val="en-GB"/>
        </w:rPr>
        <w:t xml:space="preserve">The current </w:t>
      </w:r>
      <w:proofErr w:type="spellStart"/>
      <w:r w:rsidR="00310616" w:rsidRPr="27126B25">
        <w:rPr>
          <w:lang w:val="en-GB"/>
        </w:rPr>
        <w:t>FiDA</w:t>
      </w:r>
      <w:proofErr w:type="spellEnd"/>
      <w:r w:rsidR="00310616" w:rsidRPr="27126B25">
        <w:rPr>
          <w:lang w:val="en-GB"/>
        </w:rPr>
        <w:t xml:space="preserve"> proposal imposes disproportionate burdens, lacks alignment with market demand, and risks undermining the EU’s </w:t>
      </w:r>
      <w:r w:rsidR="39855E42" w:rsidRPr="27126B25">
        <w:rPr>
          <w:lang w:val="en-GB"/>
        </w:rPr>
        <w:t xml:space="preserve">simplification and </w:t>
      </w:r>
      <w:r w:rsidR="00310616" w:rsidRPr="27126B25">
        <w:rPr>
          <w:lang w:val="en-GB"/>
        </w:rPr>
        <w:t>competitiveness</w:t>
      </w:r>
      <w:r w:rsidR="3F6A1B10" w:rsidRPr="27126B25">
        <w:rPr>
          <w:lang w:val="en-GB"/>
        </w:rPr>
        <w:t xml:space="preserve"> objectives</w:t>
      </w:r>
      <w:r w:rsidR="00310616" w:rsidRPr="27126B25">
        <w:rPr>
          <w:lang w:val="en-GB"/>
        </w:rPr>
        <w:t>. AFME recommends a market-driven, gradual, and targeted approach to data sharing, with a focus on mass retail clients</w:t>
      </w:r>
      <w:r w:rsidR="53355F82" w:rsidRPr="27126B25">
        <w:rPr>
          <w:lang w:val="en-GB"/>
        </w:rPr>
        <w:t>. If this is not achieved</w:t>
      </w:r>
      <w:r w:rsidR="00556D33">
        <w:rPr>
          <w:lang w:val="en-GB"/>
        </w:rPr>
        <w:t>,</w:t>
      </w:r>
      <w:r w:rsidR="53355F82" w:rsidRPr="27126B25">
        <w:rPr>
          <w:lang w:val="en-GB"/>
        </w:rPr>
        <w:t xml:space="preserve"> the proposal should be withdrawn.</w:t>
      </w:r>
    </w:p>
    <w:p w14:paraId="47A9263D" w14:textId="77777777" w:rsidR="00310616" w:rsidRDefault="00310616" w:rsidP="00DB3739">
      <w:pPr>
        <w:rPr>
          <w:b/>
          <w:bCs/>
          <w:lang w:val="en-GB"/>
        </w:rPr>
      </w:pPr>
    </w:p>
    <w:p w14:paraId="5EE57F2B" w14:textId="0F80A26D" w:rsidR="008176C3" w:rsidRDefault="00310616" w:rsidP="0072627D">
      <w:pPr>
        <w:jc w:val="both"/>
        <w:rPr>
          <w:lang w:val="en-GB"/>
        </w:rPr>
      </w:pPr>
      <w:r w:rsidRPr="00310616">
        <w:rPr>
          <w:lang w:val="en-GB"/>
        </w:rPr>
        <w:t xml:space="preserve">The upcoming digital simplification package announced by the European Commission for Q4 2025 provides a key opportunity to reduce administrative burdens and foster a more agile, innovation-friendly regulatory environment. </w:t>
      </w:r>
    </w:p>
    <w:p w14:paraId="04D6C143" w14:textId="77777777" w:rsidR="008176C3" w:rsidRDefault="008176C3" w:rsidP="0072627D">
      <w:pPr>
        <w:jc w:val="both"/>
        <w:rPr>
          <w:lang w:val="en-GB"/>
        </w:rPr>
      </w:pPr>
    </w:p>
    <w:p w14:paraId="5E243414" w14:textId="074AB57F" w:rsidR="00310616" w:rsidRPr="00310616" w:rsidRDefault="00310616" w:rsidP="0072627D">
      <w:pPr>
        <w:jc w:val="both"/>
        <w:rPr>
          <w:lang w:val="en-GB"/>
        </w:rPr>
      </w:pPr>
      <w:r w:rsidRPr="6BC45BA5">
        <w:rPr>
          <w:lang w:val="en-GB"/>
        </w:rPr>
        <w:t xml:space="preserve">AFME looks forward to </w:t>
      </w:r>
      <w:r w:rsidR="10C844BE" w:rsidRPr="6BC45BA5">
        <w:rPr>
          <w:lang w:val="en-GB"/>
        </w:rPr>
        <w:t xml:space="preserve">engaging and </w:t>
      </w:r>
      <w:r w:rsidRPr="6BC45BA5">
        <w:rPr>
          <w:lang w:val="en-GB"/>
        </w:rPr>
        <w:t>working with policy</w:t>
      </w:r>
      <w:r w:rsidR="008176C3" w:rsidRPr="6BC45BA5">
        <w:rPr>
          <w:lang w:val="en-GB"/>
        </w:rPr>
        <w:t xml:space="preserve"> </w:t>
      </w:r>
      <w:r w:rsidRPr="6BC45BA5">
        <w:rPr>
          <w:lang w:val="en-GB"/>
        </w:rPr>
        <w:t>makers to ensure these reforms deliver real, tangible benefits.</w:t>
      </w:r>
    </w:p>
    <w:p w14:paraId="4F5DCE6C" w14:textId="77777777" w:rsidR="00310616" w:rsidRPr="00385A4A" w:rsidRDefault="00310616">
      <w:pPr>
        <w:rPr>
          <w:lang w:val="en-GB"/>
        </w:rPr>
      </w:pPr>
    </w:p>
    <w:p w14:paraId="085B190D" w14:textId="77777777" w:rsidR="00D057C4" w:rsidRPr="00385A4A" w:rsidRDefault="00D057C4">
      <w:pPr>
        <w:rPr>
          <w:lang w:val="en-GB"/>
        </w:rPr>
      </w:pPr>
    </w:p>
    <w:p w14:paraId="5C99C336" w14:textId="77777777" w:rsidR="00DE37D4" w:rsidRPr="00385A4A" w:rsidRDefault="00485437">
      <w:pPr>
        <w:jc w:val="center"/>
        <w:rPr>
          <w:lang w:val="en-GB"/>
        </w:rPr>
      </w:pPr>
      <w:r w:rsidRPr="00385A4A">
        <w:rPr>
          <w:lang w:val="en-GB"/>
        </w:rPr>
        <w:t>– Ends –</w:t>
      </w:r>
    </w:p>
    <w:p w14:paraId="5C99C337" w14:textId="77777777" w:rsidR="00DE37D4" w:rsidRPr="00385A4A" w:rsidRDefault="00DE37D4">
      <w:pPr>
        <w:rPr>
          <w:lang w:val="en-GB"/>
        </w:rPr>
      </w:pPr>
    </w:p>
    <w:p w14:paraId="5C99C338" w14:textId="77777777" w:rsidR="00DE37D4" w:rsidRPr="00385A4A" w:rsidRDefault="00485437">
      <w:pPr>
        <w:rPr>
          <w:b/>
          <w:lang w:val="en-GB"/>
        </w:rPr>
      </w:pPr>
      <w:r w:rsidRPr="00385A4A">
        <w:rPr>
          <w:b/>
          <w:lang w:val="en-GB"/>
        </w:rPr>
        <w:t>AFME Contacts</w:t>
      </w:r>
    </w:p>
    <w:p w14:paraId="5C99C339" w14:textId="1B069D29" w:rsidR="00DE37D4" w:rsidRPr="00385A4A" w:rsidRDefault="00BE50B6" w:rsidP="00EE5991">
      <w:pPr>
        <w:rPr>
          <w:lang w:val="en-GB"/>
        </w:rPr>
      </w:pPr>
      <w:r w:rsidRPr="00385A4A">
        <w:rPr>
          <w:lang w:val="en-GB"/>
        </w:rPr>
        <w:t xml:space="preserve">Rebecca Hansford </w:t>
      </w:r>
    </w:p>
    <w:p w14:paraId="5C99C33A" w14:textId="74DD31F8" w:rsidR="00DE37D4" w:rsidRPr="00385A4A" w:rsidRDefault="00451CA6" w:rsidP="00EE5991">
      <w:pPr>
        <w:rPr>
          <w:lang w:val="en-GB"/>
        </w:rPr>
      </w:pPr>
      <w:r w:rsidRPr="00385A4A">
        <w:rPr>
          <w:lang w:val="en-GB"/>
        </w:rPr>
        <w:t xml:space="preserve">Head of Communications and Marketing </w:t>
      </w:r>
    </w:p>
    <w:p w14:paraId="5C99C33B" w14:textId="2590610E" w:rsidR="00DE37D4" w:rsidRPr="00385A4A" w:rsidRDefault="00892D20" w:rsidP="00EE5991">
      <w:pPr>
        <w:rPr>
          <w:color w:val="78A22F"/>
          <w:lang w:val="en-GB"/>
        </w:rPr>
      </w:pPr>
      <w:hyperlink r:id="rId10" w:history="1">
        <w:r w:rsidRPr="00385A4A">
          <w:rPr>
            <w:rStyle w:val="Hyperlink"/>
            <w:lang w:val="en-GB"/>
          </w:rPr>
          <w:t>Rebecca.hansford@afme.eu</w:t>
        </w:r>
      </w:hyperlink>
      <w:r w:rsidRPr="00385A4A">
        <w:rPr>
          <w:color w:val="78A22F"/>
          <w:lang w:val="en-GB"/>
        </w:rPr>
        <w:t xml:space="preserve"> </w:t>
      </w:r>
    </w:p>
    <w:p w14:paraId="028890AB" w14:textId="77777777" w:rsidR="00EE5991" w:rsidRPr="00EE5991" w:rsidRDefault="00EE5991" w:rsidP="00EE5991">
      <w:pPr>
        <w:rPr>
          <w:lang w:val="en-GB"/>
        </w:rPr>
      </w:pPr>
      <w:r w:rsidRPr="00EE5991">
        <w:rPr>
          <w:lang w:val="en-GB"/>
        </w:rPr>
        <w:t>+44 (0)20 3828 2693</w:t>
      </w:r>
    </w:p>
    <w:p w14:paraId="5C99C33D" w14:textId="77777777" w:rsidR="00DE37D4" w:rsidRPr="00385A4A" w:rsidRDefault="00DE37D4">
      <w:pPr>
        <w:rPr>
          <w:lang w:val="en-GB"/>
        </w:rPr>
      </w:pPr>
    </w:p>
    <w:p w14:paraId="5C99C33E" w14:textId="77777777" w:rsidR="00DE37D4" w:rsidRPr="00385A4A" w:rsidRDefault="00485437">
      <w:pPr>
        <w:spacing w:after="100"/>
        <w:rPr>
          <w:b/>
          <w:lang w:val="en-GB"/>
        </w:rPr>
      </w:pPr>
      <w:r w:rsidRPr="00385A4A">
        <w:rPr>
          <w:b/>
          <w:lang w:val="en-GB"/>
        </w:rPr>
        <w:t>Notes:</w:t>
      </w:r>
    </w:p>
    <w:p w14:paraId="6AB4A6CB" w14:textId="77777777" w:rsidR="00892D20" w:rsidRPr="00385A4A" w:rsidRDefault="00892D20" w:rsidP="00892D20">
      <w:pPr>
        <w:jc w:val="both"/>
        <w:rPr>
          <w:lang w:val="en-GB"/>
        </w:rPr>
      </w:pPr>
      <w:r w:rsidRPr="00385A4A">
        <w:rPr>
          <w:lang w:val="en-GB"/>
        </w:rPr>
        <w:t>T</w:t>
      </w:r>
      <w:r w:rsidRPr="00892D20">
        <w:rPr>
          <w:lang w:val="en-GB"/>
        </w:rPr>
        <w:t xml:space="preserve">he Association for Financial Markets in Europe (AFME) is the voice of the leading banks in Europe’s financial markets, providing expertise across a broad range of regulatory and capital markets issues. We represent over 150 leading global and European banks and other significant market players. Our members play a vital role in Europe’s financial ecosystem, underwriting around 90% of European corporate and sovereign debt, and 85% of European listed equity capital issuances. Importantly, AFME members are market makers, providing liquidity, which is essential for ensuring financial markets can function efficiently. We also represent law firms and other associate members which advise market participants and support AFME’s legal and regulatory initiatives. </w:t>
      </w:r>
    </w:p>
    <w:p w14:paraId="6C996A25" w14:textId="186407B0" w:rsidR="00892D20" w:rsidRPr="00892D20" w:rsidRDefault="00892D20" w:rsidP="00892D20">
      <w:pPr>
        <w:jc w:val="both"/>
        <w:rPr>
          <w:lang w:val="en-GB"/>
        </w:rPr>
      </w:pPr>
      <w:r w:rsidRPr="00892D20">
        <w:rPr>
          <w:lang w:val="en-GB"/>
        </w:rPr>
        <w:t>For more information</w:t>
      </w:r>
      <w:r w:rsidRPr="00385A4A">
        <w:rPr>
          <w:lang w:val="en-GB"/>
        </w:rPr>
        <w:t>,</w:t>
      </w:r>
      <w:r w:rsidRPr="00892D20">
        <w:rPr>
          <w:lang w:val="en-GB"/>
        </w:rPr>
        <w:t xml:space="preserve"> please visit the AFME website: </w:t>
      </w:r>
      <w:hyperlink r:id="rId11" w:history="1">
        <w:r w:rsidRPr="00892D20">
          <w:rPr>
            <w:rStyle w:val="Hyperlink"/>
            <w:lang w:val="en-GB"/>
          </w:rPr>
          <w:t>www.afme.eu</w:t>
        </w:r>
      </w:hyperlink>
      <w:r w:rsidRPr="00385A4A">
        <w:rPr>
          <w:lang w:val="en-GB"/>
        </w:rPr>
        <w:t xml:space="preserve"> </w:t>
      </w:r>
    </w:p>
    <w:p w14:paraId="5C99C341" w14:textId="77777777" w:rsidR="00DE37D4" w:rsidRPr="00385A4A" w:rsidRDefault="00DE37D4">
      <w:pPr>
        <w:jc w:val="both"/>
        <w:rPr>
          <w:lang w:val="en-GB"/>
        </w:rPr>
      </w:pPr>
    </w:p>
    <w:p w14:paraId="5C99C342" w14:textId="77777777" w:rsidR="00DE37D4" w:rsidRDefault="00DE37D4">
      <w:pPr>
        <w:jc w:val="both"/>
      </w:pPr>
    </w:p>
    <w:sectPr w:rsidR="00DE37D4">
      <w:headerReference w:type="default" r:id="rId12"/>
      <w:footerReference w:type="default" r:id="rId13"/>
      <w:pgSz w:w="11906" w:h="16838"/>
      <w:pgMar w:top="720" w:right="792" w:bottom="720" w:left="792" w:header="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2FC70" w14:textId="77777777" w:rsidR="0099040B" w:rsidRDefault="0099040B">
      <w:r>
        <w:separator/>
      </w:r>
    </w:p>
  </w:endnote>
  <w:endnote w:type="continuationSeparator" w:id="0">
    <w:p w14:paraId="6906E3FD" w14:textId="77777777" w:rsidR="0099040B" w:rsidRDefault="0099040B">
      <w:r>
        <w:continuationSeparator/>
      </w:r>
    </w:p>
  </w:endnote>
  <w:endnote w:type="continuationNotice" w:id="1">
    <w:p w14:paraId="73A78E93" w14:textId="77777777" w:rsidR="0099040B" w:rsidRDefault="009904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default"/>
    <w:embedRegular r:id="rId1" w:fontKey="{127C9CF5-6011-4C60-882B-0A702CBF2795}"/>
    <w:embedBold r:id="rId2" w:fontKey="{771F1699-EFEC-4309-8C76-5E22330A560F}"/>
    <w:embedItalic r:id="rId3" w:fontKey="{7406E793-76A9-4E07-B443-F0F989345ABD}"/>
  </w:font>
  <w:font w:name="Open Sans">
    <w:charset w:val="00"/>
    <w:family w:val="swiss"/>
    <w:pitch w:val="variable"/>
    <w:sig w:usb0="E00002EF" w:usb1="4000205B" w:usb2="00000028" w:usb3="00000000" w:csb0="0000019F" w:csb1="00000000"/>
    <w:embedRegular r:id="rId4" w:fontKey="{3E775AE1-FB17-46F2-8D46-0EDDD91B6D6C}"/>
    <w:embedBold r:id="rId5" w:fontKey="{09665EAB-9A83-430D-9148-1AA8833B080F}"/>
  </w:font>
  <w:font w:name="Open Sans SemiBold">
    <w:charset w:val="00"/>
    <w:family w:val="swiss"/>
    <w:pitch w:val="variable"/>
    <w:sig w:usb0="E00002EF" w:usb1="4000205B" w:usb2="00000028" w:usb3="00000000" w:csb0="0000019F" w:csb1="00000000"/>
    <w:embedRegular r:id="rId6" w:fontKey="{3A937157-55F6-4983-8234-064D5C6AE462}"/>
  </w:font>
  <w:font w:name="Arial">
    <w:panose1 w:val="020B0604020202020204"/>
    <w:charset w:val="00"/>
    <w:family w:val="swiss"/>
    <w:pitch w:val="variable"/>
    <w:sig w:usb0="E0002EFF" w:usb1="C000785B" w:usb2="00000009" w:usb3="00000000" w:csb0="000001FF" w:csb1="00000000"/>
  </w:font>
  <w:font w:name="Gelasio">
    <w:altName w:val="Calibri"/>
    <w:charset w:val="00"/>
    <w:family w:val="auto"/>
    <w:pitch w:val="default"/>
    <w:embedRegular r:id="rId7" w:fontKey="{D40E8160-B6EE-49D5-812C-FB0AAEDB8678}"/>
    <w:embedBold r:id="rId8" w:fontKey="{E9FDD6C9-B341-443B-89AD-DA6FB3CD09DB}"/>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9" w:fontKey="{2EDA1E65-B04B-4629-978C-4145CE1EA5E6}"/>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CEE4B02C-3F21-467D-AF71-269351903A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9C349" w14:textId="77777777" w:rsidR="00DE37D4" w:rsidRDefault="00DE37D4">
    <w:pPr>
      <w:rPr>
        <w:b/>
        <w:color w:val="78A22F"/>
        <w:sz w:val="16"/>
        <w:szCs w:val="16"/>
      </w:rPr>
    </w:pPr>
  </w:p>
  <w:p w14:paraId="5C99C34A" w14:textId="77777777" w:rsidR="00DE37D4" w:rsidRDefault="00DE37D4">
    <w:pPr>
      <w:rPr>
        <w:b/>
        <w:color w:val="78A22F"/>
        <w:sz w:val="16"/>
        <w:szCs w:val="16"/>
      </w:rPr>
    </w:pPr>
  </w:p>
  <w:p w14:paraId="5C99C34B" w14:textId="77777777" w:rsidR="00DE37D4" w:rsidRDefault="00485437">
    <w:pPr>
      <w:rPr>
        <w:b/>
        <w:color w:val="78A22F"/>
        <w:sz w:val="18"/>
        <w:szCs w:val="18"/>
      </w:rPr>
    </w:pPr>
    <w:r>
      <w:rPr>
        <w:b/>
        <w:color w:val="78A22F"/>
        <w:sz w:val="18"/>
        <w:szCs w:val="18"/>
      </w:rPr>
      <w:t>Association for Financial Markets in Europe</w:t>
    </w:r>
  </w:p>
  <w:p w14:paraId="5C99C34C" w14:textId="77777777" w:rsidR="00DE37D4" w:rsidRDefault="00485437">
    <w:pPr>
      <w:rPr>
        <w:sz w:val="18"/>
        <w:szCs w:val="18"/>
      </w:rPr>
    </w:pPr>
    <w:r>
      <w:rPr>
        <w:b/>
        <w:color w:val="808285"/>
        <w:sz w:val="18"/>
        <w:szCs w:val="18"/>
      </w:rPr>
      <w:t>London Office:</w:t>
    </w:r>
    <w:r>
      <w:rPr>
        <w:sz w:val="18"/>
        <w:szCs w:val="18"/>
      </w:rPr>
      <w:t xml:space="preserve"> Level 10, 20 Churchill Place, London E14 5HJ, United Kingdom T: +44 (0)20 3828 2700</w:t>
    </w:r>
  </w:p>
  <w:p w14:paraId="5C99C34D" w14:textId="77777777" w:rsidR="00DE37D4" w:rsidRDefault="00485437">
    <w:pPr>
      <w:rPr>
        <w:sz w:val="18"/>
        <w:szCs w:val="18"/>
      </w:rPr>
    </w:pPr>
    <w:r>
      <w:rPr>
        <w:b/>
        <w:color w:val="808285"/>
        <w:sz w:val="18"/>
        <w:szCs w:val="18"/>
      </w:rPr>
      <w:t xml:space="preserve">Brussels Office: </w:t>
    </w:r>
    <w:r>
      <w:rPr>
        <w:sz w:val="18"/>
        <w:szCs w:val="18"/>
      </w:rPr>
      <w:t>Rue de la Loi 82, 1040 Brussels, Belgium T: +32 (0)2 883 5540</w:t>
    </w:r>
  </w:p>
  <w:p w14:paraId="5C99C34E" w14:textId="77777777" w:rsidR="00DE37D4" w:rsidRDefault="27126B25" w:rsidP="27126B25">
    <w:pPr>
      <w:rPr>
        <w:sz w:val="18"/>
        <w:szCs w:val="18"/>
        <w:lang w:val="en-US"/>
      </w:rPr>
    </w:pPr>
    <w:r w:rsidRPr="27126B25">
      <w:rPr>
        <w:b/>
        <w:bCs/>
        <w:color w:val="808285"/>
        <w:sz w:val="18"/>
        <w:szCs w:val="18"/>
        <w:lang w:val="en-US"/>
      </w:rPr>
      <w:t>Frankfurt Office:</w:t>
    </w:r>
    <w:r w:rsidRPr="27126B25">
      <w:rPr>
        <w:sz w:val="18"/>
        <w:szCs w:val="18"/>
        <w:lang w:val="en-US"/>
      </w:rPr>
      <w:t xml:space="preserve"> c/o SPACES – Regus, First Floor Reception, Große Gallusstraße 16-18, 60312, Frankfurt am Main, Germany T:+ 49 (0)69 710 456 660</w:t>
    </w:r>
  </w:p>
  <w:p w14:paraId="5C99C34F" w14:textId="77777777" w:rsidR="00DE37D4" w:rsidRDefault="00485437">
    <w:pPr>
      <w:spacing w:after="200"/>
      <w:rPr>
        <w:sz w:val="18"/>
        <w:szCs w:val="18"/>
      </w:rPr>
    </w:pPr>
    <w:r>
      <w:rPr>
        <w:b/>
        <w:color w:val="78A22F"/>
        <w:sz w:val="18"/>
        <w:szCs w:val="18"/>
      </w:rPr>
      <w:t>www.afme.eu</w:t>
    </w:r>
  </w:p>
  <w:p w14:paraId="5C99C350" w14:textId="77777777" w:rsidR="00DE37D4" w:rsidRDefault="00DE37D4">
    <w:pPr>
      <w:spacing w:after="200"/>
      <w:ind w:left="-540"/>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A271D" w14:textId="77777777" w:rsidR="0099040B" w:rsidRDefault="0099040B">
      <w:r>
        <w:separator/>
      </w:r>
    </w:p>
  </w:footnote>
  <w:footnote w:type="continuationSeparator" w:id="0">
    <w:p w14:paraId="5C32656C" w14:textId="77777777" w:rsidR="0099040B" w:rsidRDefault="0099040B">
      <w:r>
        <w:continuationSeparator/>
      </w:r>
    </w:p>
  </w:footnote>
  <w:footnote w:type="continuationNotice" w:id="1">
    <w:p w14:paraId="368D22A7" w14:textId="77777777" w:rsidR="0099040B" w:rsidRDefault="009904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9C343" w14:textId="77777777" w:rsidR="00DE37D4" w:rsidRDefault="00DE37D4">
    <w:pPr>
      <w:shd w:val="clear" w:color="auto" w:fill="78A22F"/>
      <w:ind w:left="-1440" w:right="-1440"/>
      <w:rPr>
        <w:sz w:val="14"/>
        <w:szCs w:val="14"/>
      </w:rPr>
    </w:pPr>
  </w:p>
  <w:p w14:paraId="5C99C344" w14:textId="77777777" w:rsidR="00DE37D4" w:rsidRDefault="00DE37D4"/>
  <w:tbl>
    <w:tblPr>
      <w:tblStyle w:val="a0"/>
      <w:tblW w:w="1032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61"/>
      <w:gridCol w:w="5161"/>
    </w:tblGrid>
    <w:tr w:rsidR="00DE37D4" w14:paraId="5C99C347" w14:textId="77777777">
      <w:tc>
        <w:tcPr>
          <w:tcW w:w="5161" w:type="dxa"/>
          <w:tcBorders>
            <w:top w:val="nil"/>
            <w:left w:val="nil"/>
            <w:bottom w:val="nil"/>
            <w:right w:val="nil"/>
          </w:tcBorders>
          <w:tcMar>
            <w:top w:w="0" w:type="dxa"/>
            <w:left w:w="0" w:type="dxa"/>
            <w:bottom w:w="0" w:type="dxa"/>
            <w:right w:w="0" w:type="dxa"/>
          </w:tcMar>
        </w:tcPr>
        <w:p w14:paraId="5C99C345" w14:textId="77777777" w:rsidR="00DE37D4" w:rsidRDefault="00485437">
          <w:r>
            <w:rPr>
              <w:noProof/>
            </w:rPr>
            <w:drawing>
              <wp:inline distT="114300" distB="114300" distL="114300" distR="114300" wp14:anchorId="5C99C351" wp14:editId="5C99C352">
                <wp:extent cx="1357884" cy="41148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57884" cy="411480"/>
                        </a:xfrm>
                        <a:prstGeom prst="rect">
                          <a:avLst/>
                        </a:prstGeom>
                        <a:ln/>
                      </pic:spPr>
                    </pic:pic>
                  </a:graphicData>
                </a:graphic>
              </wp:inline>
            </w:drawing>
          </w:r>
        </w:p>
      </w:tc>
      <w:tc>
        <w:tcPr>
          <w:tcW w:w="5161" w:type="dxa"/>
          <w:tcBorders>
            <w:top w:val="nil"/>
            <w:left w:val="nil"/>
            <w:bottom w:val="nil"/>
            <w:right w:val="nil"/>
          </w:tcBorders>
          <w:tcMar>
            <w:top w:w="0" w:type="dxa"/>
            <w:left w:w="0" w:type="dxa"/>
            <w:bottom w:w="0" w:type="dxa"/>
            <w:right w:w="0" w:type="dxa"/>
          </w:tcMar>
          <w:vAlign w:val="center"/>
        </w:tcPr>
        <w:p w14:paraId="5C99C346" w14:textId="4788139B" w:rsidR="00DE37D4" w:rsidRDefault="00485437">
          <w:pPr>
            <w:widowControl w:val="0"/>
            <w:pBdr>
              <w:top w:val="nil"/>
              <w:left w:val="nil"/>
              <w:bottom w:val="nil"/>
              <w:right w:val="nil"/>
              <w:between w:val="nil"/>
            </w:pBdr>
            <w:jc w:val="right"/>
            <w:rPr>
              <w:rFonts w:ascii="Gelasio" w:eastAsia="Gelasio" w:hAnsi="Gelasio" w:cs="Gelasio"/>
            </w:rPr>
          </w:pPr>
          <w:r>
            <w:rPr>
              <w:rFonts w:ascii="Gelasio" w:eastAsia="Gelasio" w:hAnsi="Gelasio" w:cs="Gelasio"/>
            </w:rPr>
            <w:t>Association for Financial Markets in Europe</w:t>
          </w:r>
        </w:p>
      </w:tc>
    </w:tr>
  </w:tbl>
  <w:p w14:paraId="5C99C348" w14:textId="77777777" w:rsidR="00DE37D4" w:rsidRDefault="00DE37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D43CD"/>
    <w:multiLevelType w:val="hybridMultilevel"/>
    <w:tmpl w:val="94AAC2A0"/>
    <w:lvl w:ilvl="0" w:tplc="08090001">
      <w:start w:val="1"/>
      <w:numFmt w:val="bullet"/>
      <w:lvlText w:val=""/>
      <w:lvlJc w:val="left"/>
      <w:pPr>
        <w:ind w:left="720" w:hanging="360"/>
      </w:pPr>
      <w:rPr>
        <w:rFonts w:ascii="Symbol" w:hAnsi="Symbol" w:hint="default"/>
        <w:color w:val="78A22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E10BE1"/>
    <w:multiLevelType w:val="multilevel"/>
    <w:tmpl w:val="C390E95A"/>
    <w:lvl w:ilvl="0">
      <w:start w:val="1"/>
      <w:numFmt w:val="bullet"/>
      <w:lvlText w:val="●"/>
      <w:lvlJc w:val="left"/>
      <w:pPr>
        <w:ind w:left="720" w:hanging="360"/>
      </w:pPr>
      <w:rPr>
        <w:color w:val="78A22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1C2672"/>
    <w:multiLevelType w:val="hybridMultilevel"/>
    <w:tmpl w:val="48BCD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ED41CC"/>
    <w:multiLevelType w:val="multilevel"/>
    <w:tmpl w:val="BE880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C40ED6"/>
    <w:multiLevelType w:val="hybridMultilevel"/>
    <w:tmpl w:val="C9A07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1F54D1"/>
    <w:multiLevelType w:val="multilevel"/>
    <w:tmpl w:val="3D4037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CD627DE"/>
    <w:multiLevelType w:val="hybridMultilevel"/>
    <w:tmpl w:val="EFB0EEA2"/>
    <w:lvl w:ilvl="0" w:tplc="08090001">
      <w:start w:val="1"/>
      <w:numFmt w:val="bullet"/>
      <w:lvlText w:val=""/>
      <w:lvlJc w:val="left"/>
      <w:pPr>
        <w:ind w:left="720" w:hanging="360"/>
      </w:pPr>
      <w:rPr>
        <w:rFonts w:ascii="Symbol" w:hAnsi="Symbol" w:hint="default"/>
        <w:color w:val="78A22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860535"/>
    <w:multiLevelType w:val="multilevel"/>
    <w:tmpl w:val="EDCE8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7603517">
    <w:abstractNumId w:val="1"/>
  </w:num>
  <w:num w:numId="2" w16cid:durableId="2055806702">
    <w:abstractNumId w:val="5"/>
  </w:num>
  <w:num w:numId="3" w16cid:durableId="1228760038">
    <w:abstractNumId w:val="2"/>
  </w:num>
  <w:num w:numId="4" w16cid:durableId="1536846815">
    <w:abstractNumId w:val="7"/>
  </w:num>
  <w:num w:numId="5" w16cid:durableId="1037043424">
    <w:abstractNumId w:val="3"/>
  </w:num>
  <w:num w:numId="6" w16cid:durableId="1836341692">
    <w:abstractNumId w:val="4"/>
  </w:num>
  <w:num w:numId="7" w16cid:durableId="141580773">
    <w:abstractNumId w:val="6"/>
  </w:num>
  <w:num w:numId="8" w16cid:durableId="4245428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isplayBackgroundShape/>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7D4"/>
    <w:rsid w:val="000E2E0B"/>
    <w:rsid w:val="00114A74"/>
    <w:rsid w:val="00134F6A"/>
    <w:rsid w:val="00165D60"/>
    <w:rsid w:val="00172C56"/>
    <w:rsid w:val="001A0478"/>
    <w:rsid w:val="001B2131"/>
    <w:rsid w:val="00200A6B"/>
    <w:rsid w:val="00310616"/>
    <w:rsid w:val="003254F3"/>
    <w:rsid w:val="00334948"/>
    <w:rsid w:val="00347391"/>
    <w:rsid w:val="003505CF"/>
    <w:rsid w:val="00385A4A"/>
    <w:rsid w:val="003A1EF4"/>
    <w:rsid w:val="003B691B"/>
    <w:rsid w:val="00407FA7"/>
    <w:rsid w:val="00412A47"/>
    <w:rsid w:val="00422B68"/>
    <w:rsid w:val="00451CA6"/>
    <w:rsid w:val="00451EA3"/>
    <w:rsid w:val="00455B40"/>
    <w:rsid w:val="00457EEA"/>
    <w:rsid w:val="00485437"/>
    <w:rsid w:val="004C0252"/>
    <w:rsid w:val="004D421E"/>
    <w:rsid w:val="004E0EF5"/>
    <w:rsid w:val="005178C9"/>
    <w:rsid w:val="005201E9"/>
    <w:rsid w:val="00552AEB"/>
    <w:rsid w:val="00556D33"/>
    <w:rsid w:val="005839F3"/>
    <w:rsid w:val="005C740C"/>
    <w:rsid w:val="00643897"/>
    <w:rsid w:val="00667052"/>
    <w:rsid w:val="00695455"/>
    <w:rsid w:val="006E4603"/>
    <w:rsid w:val="006E7010"/>
    <w:rsid w:val="00713AC7"/>
    <w:rsid w:val="00723014"/>
    <w:rsid w:val="0072627D"/>
    <w:rsid w:val="00765803"/>
    <w:rsid w:val="008176C3"/>
    <w:rsid w:val="00850444"/>
    <w:rsid w:val="00881E38"/>
    <w:rsid w:val="00882EDE"/>
    <w:rsid w:val="00892D20"/>
    <w:rsid w:val="008D77DA"/>
    <w:rsid w:val="00903D26"/>
    <w:rsid w:val="009065DE"/>
    <w:rsid w:val="0093284D"/>
    <w:rsid w:val="00973467"/>
    <w:rsid w:val="0099040B"/>
    <w:rsid w:val="009C7260"/>
    <w:rsid w:val="009E146C"/>
    <w:rsid w:val="009E7FEA"/>
    <w:rsid w:val="009F02EC"/>
    <w:rsid w:val="009F7688"/>
    <w:rsid w:val="00A309A9"/>
    <w:rsid w:val="00A66A15"/>
    <w:rsid w:val="00A77D12"/>
    <w:rsid w:val="00A82FB6"/>
    <w:rsid w:val="00AB0FE8"/>
    <w:rsid w:val="00AB5673"/>
    <w:rsid w:val="00AC78FF"/>
    <w:rsid w:val="00B354B5"/>
    <w:rsid w:val="00B474B9"/>
    <w:rsid w:val="00B74833"/>
    <w:rsid w:val="00B95EB2"/>
    <w:rsid w:val="00BA3614"/>
    <w:rsid w:val="00BC16E1"/>
    <w:rsid w:val="00BE50B6"/>
    <w:rsid w:val="00BF673A"/>
    <w:rsid w:val="00C23818"/>
    <w:rsid w:val="00C26B1E"/>
    <w:rsid w:val="00C552B1"/>
    <w:rsid w:val="00C76F26"/>
    <w:rsid w:val="00C81F83"/>
    <w:rsid w:val="00CD22C1"/>
    <w:rsid w:val="00CE1C7A"/>
    <w:rsid w:val="00D057C4"/>
    <w:rsid w:val="00D32BDB"/>
    <w:rsid w:val="00DA1009"/>
    <w:rsid w:val="00DB3739"/>
    <w:rsid w:val="00DE0403"/>
    <w:rsid w:val="00DE37D4"/>
    <w:rsid w:val="00E40D2D"/>
    <w:rsid w:val="00E43E1F"/>
    <w:rsid w:val="00E566B8"/>
    <w:rsid w:val="00E60CA7"/>
    <w:rsid w:val="00E72605"/>
    <w:rsid w:val="00E731F4"/>
    <w:rsid w:val="00E8327C"/>
    <w:rsid w:val="00E873AE"/>
    <w:rsid w:val="00EA18E9"/>
    <w:rsid w:val="00EB2A59"/>
    <w:rsid w:val="00ED1479"/>
    <w:rsid w:val="00EE009D"/>
    <w:rsid w:val="00EE5991"/>
    <w:rsid w:val="00EF757A"/>
    <w:rsid w:val="00FB6C5D"/>
    <w:rsid w:val="00FF6A62"/>
    <w:rsid w:val="00FF7528"/>
    <w:rsid w:val="05817980"/>
    <w:rsid w:val="065BCFE9"/>
    <w:rsid w:val="0B0454B9"/>
    <w:rsid w:val="0B25813B"/>
    <w:rsid w:val="10C844BE"/>
    <w:rsid w:val="1199F8FF"/>
    <w:rsid w:val="18A02FE1"/>
    <w:rsid w:val="18A4A7E4"/>
    <w:rsid w:val="1BC6BA4F"/>
    <w:rsid w:val="1CEEAC54"/>
    <w:rsid w:val="2112992C"/>
    <w:rsid w:val="25EFCAFE"/>
    <w:rsid w:val="26EC8F26"/>
    <w:rsid w:val="27126B25"/>
    <w:rsid w:val="2A62F8CC"/>
    <w:rsid w:val="2C216509"/>
    <w:rsid w:val="2EEAF14A"/>
    <w:rsid w:val="3688F85D"/>
    <w:rsid w:val="39855E42"/>
    <w:rsid w:val="3B1E5DF2"/>
    <w:rsid w:val="3F4C4464"/>
    <w:rsid w:val="3F6A1B10"/>
    <w:rsid w:val="417E94E7"/>
    <w:rsid w:val="4182F537"/>
    <w:rsid w:val="433BE4C4"/>
    <w:rsid w:val="441C371B"/>
    <w:rsid w:val="4673AC4D"/>
    <w:rsid w:val="4C88E3E9"/>
    <w:rsid w:val="51716F35"/>
    <w:rsid w:val="51905815"/>
    <w:rsid w:val="53355F82"/>
    <w:rsid w:val="54DEBDFD"/>
    <w:rsid w:val="567E2187"/>
    <w:rsid w:val="576FC394"/>
    <w:rsid w:val="58198252"/>
    <w:rsid w:val="5ABCBBE7"/>
    <w:rsid w:val="5E59E165"/>
    <w:rsid w:val="624E89A9"/>
    <w:rsid w:val="63DC7A34"/>
    <w:rsid w:val="66070E6B"/>
    <w:rsid w:val="6637F214"/>
    <w:rsid w:val="66EF7CA7"/>
    <w:rsid w:val="6A9290D7"/>
    <w:rsid w:val="6B59171D"/>
    <w:rsid w:val="6BC45BA5"/>
    <w:rsid w:val="71CFE64A"/>
    <w:rsid w:val="71E88111"/>
    <w:rsid w:val="726D5D7F"/>
    <w:rsid w:val="7D378A1C"/>
    <w:rsid w:val="7DB53946"/>
    <w:rsid w:val="7DBCA4D0"/>
    <w:rsid w:val="7EDA16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9C32C"/>
  <w15:docId w15:val="{B4546E53-CE78-4D76-8135-D61F01477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ind w:right="2730"/>
      <w:outlineLvl w:val="0"/>
    </w:pPr>
    <w:rPr>
      <w:rFonts w:ascii="Open Sans" w:eastAsia="Open Sans" w:hAnsi="Open Sans" w:cs="Open Sans"/>
      <w:b/>
      <w:sz w:val="48"/>
      <w:szCs w:val="48"/>
    </w:rPr>
  </w:style>
  <w:style w:type="paragraph" w:styleId="Heading2">
    <w:name w:val="heading 2"/>
    <w:basedOn w:val="Normal"/>
    <w:next w:val="Normal"/>
    <w:uiPriority w:val="9"/>
    <w:semiHidden/>
    <w:unhideWhenUsed/>
    <w:qFormat/>
    <w:pPr>
      <w:keepNext/>
      <w:keepLines/>
      <w:spacing w:after="200"/>
      <w:outlineLvl w:val="1"/>
    </w:pPr>
    <w:rPr>
      <w:rFonts w:ascii="Open Sans SemiBold" w:eastAsia="Open Sans SemiBold" w:hAnsi="Open Sans SemiBold" w:cs="Open Sans SemiBold"/>
      <w:color w:val="FDB913"/>
      <w:sz w:val="22"/>
      <w:szCs w:val="22"/>
    </w:rPr>
  </w:style>
  <w:style w:type="paragraph" w:styleId="Heading3">
    <w:name w:val="heading 3"/>
    <w:basedOn w:val="Normal"/>
    <w:next w:val="Normal"/>
    <w:uiPriority w:val="9"/>
    <w:semiHidden/>
    <w:unhideWhenUsed/>
    <w:qFormat/>
    <w:pPr>
      <w:keepNext/>
      <w:keepLines/>
      <w:outlineLvl w:val="2"/>
    </w:pPr>
    <w:rPr>
      <w:b/>
      <w:color w:val="FDB913"/>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26B1E"/>
    <w:pPr>
      <w:tabs>
        <w:tab w:val="center" w:pos="4513"/>
        <w:tab w:val="right" w:pos="9026"/>
      </w:tabs>
    </w:pPr>
  </w:style>
  <w:style w:type="character" w:customStyle="1" w:styleId="HeaderChar">
    <w:name w:val="Header Char"/>
    <w:basedOn w:val="DefaultParagraphFont"/>
    <w:link w:val="Header"/>
    <w:uiPriority w:val="99"/>
    <w:rsid w:val="00C26B1E"/>
  </w:style>
  <w:style w:type="paragraph" w:styleId="Footer">
    <w:name w:val="footer"/>
    <w:basedOn w:val="Normal"/>
    <w:link w:val="FooterChar"/>
    <w:uiPriority w:val="99"/>
    <w:unhideWhenUsed/>
    <w:rsid w:val="00C26B1E"/>
    <w:pPr>
      <w:tabs>
        <w:tab w:val="center" w:pos="4513"/>
        <w:tab w:val="right" w:pos="9026"/>
      </w:tabs>
    </w:pPr>
  </w:style>
  <w:style w:type="character" w:customStyle="1" w:styleId="FooterChar">
    <w:name w:val="Footer Char"/>
    <w:basedOn w:val="DefaultParagraphFont"/>
    <w:link w:val="Footer"/>
    <w:uiPriority w:val="99"/>
    <w:rsid w:val="00C26B1E"/>
  </w:style>
  <w:style w:type="paragraph" w:styleId="ListParagraph">
    <w:name w:val="List Paragraph"/>
    <w:basedOn w:val="Normal"/>
    <w:uiPriority w:val="34"/>
    <w:qFormat/>
    <w:rsid w:val="00E8327C"/>
    <w:pPr>
      <w:ind w:left="720"/>
      <w:contextualSpacing/>
    </w:pPr>
  </w:style>
  <w:style w:type="character" w:styleId="Hyperlink">
    <w:name w:val="Hyperlink"/>
    <w:basedOn w:val="DefaultParagraphFont"/>
    <w:uiPriority w:val="99"/>
    <w:unhideWhenUsed/>
    <w:rsid w:val="00892D20"/>
    <w:rPr>
      <w:color w:val="0000FF" w:themeColor="hyperlink"/>
      <w:u w:val="single"/>
    </w:rPr>
  </w:style>
  <w:style w:type="character" w:styleId="UnresolvedMention">
    <w:name w:val="Unresolved Mention"/>
    <w:basedOn w:val="DefaultParagraphFont"/>
    <w:uiPriority w:val="99"/>
    <w:semiHidden/>
    <w:unhideWhenUsed/>
    <w:rsid w:val="00892D20"/>
    <w:rPr>
      <w:color w:val="605E5C"/>
      <w:shd w:val="clear" w:color="auto" w:fill="E1DFDD"/>
    </w:rPr>
  </w:style>
  <w:style w:type="character" w:styleId="CommentReference">
    <w:name w:val="annotation reference"/>
    <w:basedOn w:val="DefaultParagraphFont"/>
    <w:uiPriority w:val="99"/>
    <w:semiHidden/>
    <w:unhideWhenUsed/>
    <w:rsid w:val="009E146C"/>
    <w:rPr>
      <w:sz w:val="16"/>
      <w:szCs w:val="16"/>
    </w:rPr>
  </w:style>
  <w:style w:type="paragraph" w:styleId="CommentText">
    <w:name w:val="annotation text"/>
    <w:basedOn w:val="Normal"/>
    <w:link w:val="CommentTextChar"/>
    <w:uiPriority w:val="99"/>
    <w:unhideWhenUsed/>
    <w:rsid w:val="009E146C"/>
  </w:style>
  <w:style w:type="character" w:customStyle="1" w:styleId="CommentTextChar">
    <w:name w:val="Comment Text Char"/>
    <w:basedOn w:val="DefaultParagraphFont"/>
    <w:link w:val="CommentText"/>
    <w:uiPriority w:val="99"/>
    <w:rsid w:val="009E146C"/>
  </w:style>
  <w:style w:type="paragraph" w:styleId="CommentSubject">
    <w:name w:val="annotation subject"/>
    <w:basedOn w:val="CommentText"/>
    <w:next w:val="CommentText"/>
    <w:link w:val="CommentSubjectChar"/>
    <w:uiPriority w:val="99"/>
    <w:semiHidden/>
    <w:unhideWhenUsed/>
    <w:rsid w:val="009E146C"/>
    <w:rPr>
      <w:b/>
      <w:bCs/>
    </w:rPr>
  </w:style>
  <w:style w:type="character" w:customStyle="1" w:styleId="CommentSubjectChar">
    <w:name w:val="Comment Subject Char"/>
    <w:basedOn w:val="CommentTextChar"/>
    <w:link w:val="CommentSubject"/>
    <w:uiPriority w:val="99"/>
    <w:semiHidden/>
    <w:rsid w:val="009E146C"/>
    <w:rPr>
      <w:b/>
      <w:bCs/>
    </w:rPr>
  </w:style>
  <w:style w:type="paragraph" w:styleId="Revision">
    <w:name w:val="Revision"/>
    <w:hidden/>
    <w:uiPriority w:val="99"/>
    <w:semiHidden/>
    <w:rsid w:val="00FF75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9592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fme.eu"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Rebecca.hansford@afme.e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c52773b-2310-41bb-afc2-407f8f16e4f6">
      <Terms xmlns="http://schemas.microsoft.com/office/infopath/2007/PartnerControls"/>
    </lcf76f155ced4ddcb4097134ff3c332f>
    <TaxCatchAll xmlns="636f0f25-b8ed-49c0-9d01-6695e17077d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A6EFACFB637824BB2DA34F1E792BFDD" ma:contentTypeVersion="18" ma:contentTypeDescription="Create a new document." ma:contentTypeScope="" ma:versionID="6fe3e329c6e47ca217bc6ae39fa6f264">
  <xsd:schema xmlns:xsd="http://www.w3.org/2001/XMLSchema" xmlns:xs="http://www.w3.org/2001/XMLSchema" xmlns:p="http://schemas.microsoft.com/office/2006/metadata/properties" xmlns:ns2="7c52773b-2310-41bb-afc2-407f8f16e4f6" xmlns:ns3="636f0f25-b8ed-49c0-9d01-6695e17077d8" targetNamespace="http://schemas.microsoft.com/office/2006/metadata/properties" ma:root="true" ma:fieldsID="f8ad817f1758310191540364bcdd710f" ns2:_="" ns3:_="">
    <xsd:import namespace="7c52773b-2310-41bb-afc2-407f8f16e4f6"/>
    <xsd:import namespace="636f0f25-b8ed-49c0-9d01-6695e17077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52773b-2310-41bb-afc2-407f8f16e4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1bac71f-1506-44ff-98a5-aaeca32ace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6f0f25-b8ed-49c0-9d01-6695e17077d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426f7b-415b-44b3-b8dc-29169a85fcbf}" ma:internalName="TaxCatchAll" ma:showField="CatchAllData" ma:web="636f0f25-b8ed-49c0-9d01-6695e17077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0CF031-43C4-4FC0-AB83-8747DA9E35BF}">
  <ds:schemaRefs>
    <ds:schemaRef ds:uri="http://schemas.microsoft.com/office/2006/metadata/properties"/>
    <ds:schemaRef ds:uri="http://schemas.microsoft.com/office/infopath/2007/PartnerControls"/>
    <ds:schemaRef ds:uri="7c52773b-2310-41bb-afc2-407f8f16e4f6"/>
    <ds:schemaRef ds:uri="636f0f25-b8ed-49c0-9d01-6695e17077d8"/>
  </ds:schemaRefs>
</ds:datastoreItem>
</file>

<file path=customXml/itemProps2.xml><?xml version="1.0" encoding="utf-8"?>
<ds:datastoreItem xmlns:ds="http://schemas.openxmlformats.org/officeDocument/2006/customXml" ds:itemID="{EC472347-26D1-4253-874A-39AF3DF6D5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52773b-2310-41bb-afc2-407f8f16e4f6"/>
    <ds:schemaRef ds:uri="636f0f25-b8ed-49c0-9d01-6695e17077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A17ABA-4879-4892-987F-55A6C70693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622</Words>
  <Characters>3546</Characters>
  <Application>Microsoft Office Word</Application>
  <DocSecurity>4</DocSecurity>
  <Lines>29</Lines>
  <Paragraphs>8</Paragraphs>
  <ScaleCrop>false</ScaleCrop>
  <Company/>
  <LinksUpToDate>false</LinksUpToDate>
  <CharactersWithSpaces>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Hansford</dc:creator>
  <cp:keywords/>
  <cp:lastModifiedBy>Rebecca Hansford</cp:lastModifiedBy>
  <cp:revision>45</cp:revision>
  <dcterms:created xsi:type="dcterms:W3CDTF">2025-09-18T21:39:00Z</dcterms:created>
  <dcterms:modified xsi:type="dcterms:W3CDTF">2025-09-23T14:43:00Z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docLang">
    <vt:lpwstr>en</vt:lpwstr>
  </property>
  <property fmtid="{D5CDD505-2E9C-101B-9397-08002B2CF9AE}" pid="4" name="ContentTypeId">
    <vt:lpwstr>0x0101009A6EFACFB637824BB2DA34F1E792BFDD</vt:lpwstr>
  </property>
</Properties>
</file>