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8A9A6" w14:textId="77777777" w:rsidR="00282272" w:rsidRPr="004F22A2" w:rsidRDefault="00EA75C4" w:rsidP="0040580A">
      <w:pPr>
        <w:pStyle w:val="Title"/>
        <w:outlineLvl w:val="0"/>
      </w:pPr>
      <w:bookmarkStart w:id="0" w:name="_Hlk498502198"/>
      <w:bookmarkStart w:id="1" w:name="_Hlk482713671"/>
      <w:bookmarkStart w:id="2" w:name="_GoBack"/>
      <w:r>
        <w:t>Communiqué de presse</w:t>
      </w:r>
    </w:p>
    <w:bookmarkEnd w:id="2"/>
    <w:p w14:paraId="25912D4F" w14:textId="01502E66" w:rsidR="003F7F16" w:rsidRPr="004F22A2" w:rsidRDefault="003A6D99" w:rsidP="0040580A">
      <w:pPr>
        <w:pStyle w:val="Date"/>
        <w:spacing w:after="0" w:line="240" w:lineRule="auto"/>
        <w:outlineLvl w:val="0"/>
        <w:rPr>
          <w:rFonts w:ascii="Cambria" w:hAnsi="Cambria"/>
          <w:b/>
          <w:bCs/>
          <w:sz w:val="28"/>
          <w:szCs w:val="28"/>
        </w:rPr>
      </w:pPr>
      <w:r>
        <w:rPr>
          <w:rFonts w:ascii="Cambria" w:hAnsi="Cambria"/>
          <w:b/>
          <w:bCs/>
          <w:sz w:val="28"/>
          <w:szCs w:val="28"/>
        </w:rPr>
        <w:t>L’Union des Marchés de Capitaux doit se montrer plus audacieuse pour surmonter les obstacles</w:t>
      </w:r>
      <w:r w:rsidR="00473861">
        <w:rPr>
          <w:rFonts w:ascii="Cambria" w:hAnsi="Cambria"/>
          <w:b/>
          <w:bCs/>
          <w:sz w:val="28"/>
          <w:szCs w:val="28"/>
        </w:rPr>
        <w:t xml:space="preserve"> qui subsistent</w:t>
      </w:r>
    </w:p>
    <w:p w14:paraId="4AB3162D" w14:textId="7C10B526" w:rsidR="00806D8E" w:rsidRPr="001B2A09" w:rsidRDefault="00473861" w:rsidP="00A117F5">
      <w:pPr>
        <w:pStyle w:val="Date"/>
        <w:spacing w:after="0" w:line="240" w:lineRule="auto"/>
        <w:rPr>
          <w:sz w:val="25"/>
          <w:szCs w:val="25"/>
        </w:rPr>
      </w:pPr>
      <w:r>
        <w:rPr>
          <w:sz w:val="25"/>
          <w:szCs w:val="25"/>
        </w:rPr>
        <w:t xml:space="preserve">Les organismes professionnels représentant les principaux intervenants des marchés de capitaux </w:t>
      </w:r>
      <w:r w:rsidR="00154C09">
        <w:rPr>
          <w:sz w:val="25"/>
          <w:szCs w:val="25"/>
        </w:rPr>
        <w:t xml:space="preserve">publient la seconde édition du rapport sur les indicateurs clés de performance </w:t>
      </w:r>
    </w:p>
    <w:p w14:paraId="4D83E7AC" w14:textId="4AF11D05" w:rsidR="00F871DC" w:rsidRPr="009034DC" w:rsidRDefault="00CA51C8" w:rsidP="00A117F5">
      <w:pPr>
        <w:pStyle w:val="Date"/>
        <w:spacing w:after="0" w:line="240" w:lineRule="auto"/>
      </w:pPr>
      <w:r>
        <w:t xml:space="preserve">Le </w:t>
      </w:r>
      <w:r w:rsidRPr="003F421B">
        <w:t>16</w:t>
      </w:r>
      <w:r>
        <w:t xml:space="preserve"> octobre </w:t>
      </w:r>
      <w:r w:rsidRPr="003F421B">
        <w:t>2019</w:t>
      </w:r>
    </w:p>
    <w:bookmarkEnd w:id="0"/>
    <w:p w14:paraId="21D355AD" w14:textId="2D559B95" w:rsidR="001D17A4" w:rsidRDefault="001D17A4" w:rsidP="006433EB">
      <w:pPr>
        <w:pStyle w:val="BodyText"/>
        <w:spacing w:after="0" w:line="240" w:lineRule="auto"/>
      </w:pPr>
    </w:p>
    <w:p w14:paraId="26FD8C97" w14:textId="62A0264A" w:rsidR="00777AF5" w:rsidRDefault="00426C77" w:rsidP="00A4518F">
      <w:pPr>
        <w:pStyle w:val="BodyText"/>
        <w:spacing w:after="0" w:line="240" w:lineRule="auto"/>
      </w:pPr>
      <w:r>
        <w:t xml:space="preserve">En collaboration avec </w:t>
      </w:r>
      <w:r w:rsidRPr="003F421B">
        <w:t>10</w:t>
      </w:r>
      <w:r>
        <w:t xml:space="preserve"> organisations internationales représentant des parties prenantes internationales et européennes des marchés de capitaux, l’AFME publie aujourd’hui la seconde édition de son rapport annuel qui mesure les progrès réalisés à ce jour par le projet phare d’Union des marchés de capitaux (UMC) de la Commission européenne grâce à huit indicateurs clés de performance (ICP). </w:t>
      </w:r>
    </w:p>
    <w:p w14:paraId="358AE282" w14:textId="2C206ACC" w:rsidR="00EC7BB9" w:rsidRDefault="00EC7BB9" w:rsidP="00A4518F">
      <w:pPr>
        <w:pStyle w:val="BodyText"/>
        <w:spacing w:after="0" w:line="240" w:lineRule="auto"/>
      </w:pPr>
    </w:p>
    <w:p w14:paraId="38C83BD0" w14:textId="11E6EDCE" w:rsidR="00777AF5" w:rsidRDefault="00777AF5" w:rsidP="00A4518F">
      <w:pPr>
        <w:spacing w:line="240" w:lineRule="auto"/>
        <w:jc w:val="both"/>
      </w:pPr>
      <w:r>
        <w:t>Le rapport, intitulé « </w:t>
      </w:r>
      <w:r>
        <w:rPr>
          <w:b/>
          <w:bCs/>
        </w:rPr>
        <w:t>Indicateurs clés de performance de l’Union des marchés de capitaux</w:t>
      </w:r>
      <w:r>
        <w:t> », inclut une comparaison pays par pays des progrès réalisés par chacun des États membres de l’UE au regard des objectifs de l’UMC. Le rapport de cette année inclut également un nouvel indicateur mesurant la manière dont les</w:t>
      </w:r>
      <w:r w:rsidR="00473861">
        <w:t xml:space="preserve"> 28</w:t>
      </w:r>
      <w:r>
        <w:t xml:space="preserve"> pays de l’Union favorisent l’investissement dans les technologies financières. </w:t>
      </w:r>
    </w:p>
    <w:p w14:paraId="5F416E0D" w14:textId="6C27CC86" w:rsidR="00D52A85" w:rsidRDefault="00D52A85" w:rsidP="00A4518F">
      <w:pPr>
        <w:spacing w:line="240" w:lineRule="auto"/>
        <w:jc w:val="both"/>
        <w:rPr>
          <w:rFonts w:cs="Calibri"/>
          <w:lang w:eastAsia="en-US"/>
        </w:rPr>
      </w:pPr>
    </w:p>
    <w:p w14:paraId="0F3364ED" w14:textId="0346F369" w:rsidR="00D52A85" w:rsidRPr="008814EE" w:rsidRDefault="00D52A85" w:rsidP="00A4518F">
      <w:pPr>
        <w:spacing w:line="240" w:lineRule="auto"/>
        <w:jc w:val="both"/>
        <w:rPr>
          <w:rFonts w:cs="Calibri"/>
          <w:i/>
        </w:rPr>
      </w:pPr>
      <w:r>
        <w:rPr>
          <w:b/>
        </w:rPr>
        <w:t>Simon Lewis, directeur général de l’AFME</w:t>
      </w:r>
      <w:r>
        <w:t xml:space="preserve">, a déclaré : </w:t>
      </w:r>
      <w:r>
        <w:rPr>
          <w:i/>
        </w:rPr>
        <w:t>« Alors que l’UE entame un nouveau cycle politique, la Commission européenne se doit de développer plus avant l’Union des marchés de capitaux. Certains indicateurs de notre rapport montrent une amélioration par rapport aux résultats de l’an dernier, tels que le leadership mondial de l’Europe en matière de financement durable, mais il reste encore beaucoup de travail à accomplir aux niveaux européen et national, notamment pour rendre les marchés de capitaux européens plus compétitifs. »</w:t>
      </w:r>
    </w:p>
    <w:p w14:paraId="57248AE0" w14:textId="77777777" w:rsidR="003B21F1" w:rsidRDefault="003B21F1" w:rsidP="00A4518F">
      <w:pPr>
        <w:spacing w:line="240" w:lineRule="auto"/>
        <w:jc w:val="both"/>
        <w:rPr>
          <w:rFonts w:cs="Calibri"/>
          <w:lang w:eastAsia="en-US"/>
        </w:rPr>
      </w:pPr>
    </w:p>
    <w:p w14:paraId="4E8E5611" w14:textId="0578F566" w:rsidR="00416F71" w:rsidRPr="00461ED3" w:rsidRDefault="00324DF8" w:rsidP="0040580A">
      <w:pPr>
        <w:spacing w:line="240" w:lineRule="auto"/>
        <w:jc w:val="both"/>
        <w:outlineLvl w:val="0"/>
        <w:rPr>
          <w:rFonts w:cs="Calibri"/>
          <w:b/>
          <w:sz w:val="24"/>
          <w:szCs w:val="24"/>
          <w:u w:val="single"/>
        </w:rPr>
      </w:pPr>
      <w:r>
        <w:rPr>
          <w:b/>
          <w:sz w:val="24"/>
          <w:szCs w:val="24"/>
          <w:u w:val="single"/>
        </w:rPr>
        <w:t>Les huit ICP évaluent les progrès dans les domaines prioritaires suivants de la politique de l’UMC :</w:t>
      </w:r>
    </w:p>
    <w:p w14:paraId="631F42A6" w14:textId="3F35846A" w:rsidR="00416F71" w:rsidRPr="00416F71" w:rsidRDefault="00416F71" w:rsidP="00A4518F">
      <w:pPr>
        <w:numPr>
          <w:ilvl w:val="0"/>
          <w:numId w:val="29"/>
        </w:numPr>
        <w:spacing w:line="240" w:lineRule="auto"/>
        <w:jc w:val="both"/>
        <w:rPr>
          <w:rFonts w:cs="Calibri"/>
        </w:rPr>
      </w:pPr>
      <w:r>
        <w:rPr>
          <w:u w:val="single"/>
        </w:rPr>
        <w:t xml:space="preserve">Indicateur </w:t>
      </w:r>
      <w:r w:rsidR="00473861">
        <w:rPr>
          <w:u w:val="single"/>
        </w:rPr>
        <w:t xml:space="preserve">sur la </w:t>
      </w:r>
      <w:r>
        <w:rPr>
          <w:u w:val="single"/>
        </w:rPr>
        <w:t>finance de marché</w:t>
      </w:r>
      <w:r>
        <w:rPr>
          <w:b/>
        </w:rPr>
        <w:t> :</w:t>
      </w:r>
      <w:r>
        <w:t xml:space="preserve"> les sociétés peuvent-elles facilement entrer en bourse pour y lever des capitaux ? ;</w:t>
      </w:r>
    </w:p>
    <w:p w14:paraId="414CBAAA" w14:textId="1FD5188D" w:rsidR="00416F71" w:rsidRPr="00416F71" w:rsidRDefault="00416F71" w:rsidP="00A4518F">
      <w:pPr>
        <w:numPr>
          <w:ilvl w:val="0"/>
          <w:numId w:val="29"/>
        </w:numPr>
        <w:spacing w:line="240" w:lineRule="auto"/>
        <w:jc w:val="both"/>
        <w:rPr>
          <w:rFonts w:cs="Calibri"/>
        </w:rPr>
      </w:pPr>
      <w:r>
        <w:rPr>
          <w:u w:val="single"/>
        </w:rPr>
        <w:t xml:space="preserve">Indicateur </w:t>
      </w:r>
      <w:r w:rsidR="00473861">
        <w:rPr>
          <w:u w:val="single"/>
        </w:rPr>
        <w:t xml:space="preserve">sur le </w:t>
      </w:r>
      <w:r>
        <w:rPr>
          <w:u w:val="single"/>
        </w:rPr>
        <w:t>marché de l’investissement des ménages</w:t>
      </w:r>
      <w:r>
        <w:t> : dans quelle mesure l’investissement des particuliers est-il encouragé ?</w:t>
      </w:r>
    </w:p>
    <w:p w14:paraId="37A1D5DD" w14:textId="277F92CD" w:rsidR="00416F71" w:rsidRDefault="00416F71" w:rsidP="00A4518F">
      <w:pPr>
        <w:numPr>
          <w:ilvl w:val="0"/>
          <w:numId w:val="29"/>
        </w:numPr>
        <w:spacing w:line="240" w:lineRule="auto"/>
        <w:jc w:val="both"/>
        <w:rPr>
          <w:rFonts w:cs="Calibri"/>
        </w:rPr>
      </w:pPr>
      <w:r>
        <w:rPr>
          <w:u w:val="single"/>
        </w:rPr>
        <w:t xml:space="preserve">Indicateur </w:t>
      </w:r>
      <w:r w:rsidR="00473861">
        <w:rPr>
          <w:u w:val="single"/>
        </w:rPr>
        <w:t xml:space="preserve">de </w:t>
      </w:r>
      <w:r>
        <w:rPr>
          <w:u w:val="single"/>
        </w:rPr>
        <w:t>transfert de prêt :</w:t>
      </w:r>
      <w:r>
        <w:t xml:space="preserve"> dans quelle mesure les banques sont-elles capables de soutenir l’économie au sens large ? </w:t>
      </w:r>
    </w:p>
    <w:p w14:paraId="2B28249B" w14:textId="528B2F15" w:rsidR="00CA51C8" w:rsidRPr="00416F71" w:rsidRDefault="00CA51C8" w:rsidP="00A4518F">
      <w:pPr>
        <w:numPr>
          <w:ilvl w:val="0"/>
          <w:numId w:val="29"/>
        </w:numPr>
        <w:spacing w:line="240" w:lineRule="auto"/>
        <w:jc w:val="both"/>
        <w:rPr>
          <w:rFonts w:cs="Calibri"/>
        </w:rPr>
      </w:pPr>
      <w:r>
        <w:rPr>
          <w:u w:val="single"/>
        </w:rPr>
        <w:t xml:space="preserve">Indicateur </w:t>
      </w:r>
      <w:r w:rsidR="00473861">
        <w:rPr>
          <w:u w:val="single"/>
        </w:rPr>
        <w:t>sur les FinTech</w:t>
      </w:r>
      <w:r w:rsidR="008448BC">
        <w:rPr>
          <w:u w:val="single"/>
        </w:rPr>
        <w:t>s</w:t>
      </w:r>
      <w:r>
        <w:rPr>
          <w:u w:val="single"/>
        </w:rPr>
        <w:t xml:space="preserve"> :</w:t>
      </w:r>
      <w:r>
        <w:t xml:space="preserve"> dans quelle mesure les pays permettent-ils d’investir dans les </w:t>
      </w:r>
      <w:r w:rsidR="00473861">
        <w:t>FinTech</w:t>
      </w:r>
      <w:r w:rsidR="008448BC">
        <w:t>s</w:t>
      </w:r>
      <w:r>
        <w:t xml:space="preserve"> ;</w:t>
      </w:r>
    </w:p>
    <w:p w14:paraId="56964B69" w14:textId="00701175" w:rsidR="00416F71" w:rsidRPr="00416F71" w:rsidRDefault="00416F71" w:rsidP="00A4518F">
      <w:pPr>
        <w:numPr>
          <w:ilvl w:val="0"/>
          <w:numId w:val="29"/>
        </w:numPr>
        <w:spacing w:line="240" w:lineRule="auto"/>
        <w:jc w:val="both"/>
        <w:rPr>
          <w:rFonts w:cs="Calibri"/>
        </w:rPr>
      </w:pPr>
      <w:r>
        <w:rPr>
          <w:u w:val="single"/>
        </w:rPr>
        <w:t xml:space="preserve">Indicateur </w:t>
      </w:r>
      <w:r w:rsidR="00473861">
        <w:rPr>
          <w:u w:val="single"/>
        </w:rPr>
        <w:t xml:space="preserve">sur la </w:t>
      </w:r>
      <w:r>
        <w:rPr>
          <w:u w:val="single"/>
        </w:rPr>
        <w:t>finance durable :</w:t>
      </w:r>
      <w:r>
        <w:t xml:space="preserve"> quelle part les investissements à long terme représentent-ils dans l’infrastructure et dans des placements durables ?</w:t>
      </w:r>
    </w:p>
    <w:p w14:paraId="5ED7E9F6" w14:textId="0443BE5C" w:rsidR="00416F71" w:rsidRPr="00416F71" w:rsidRDefault="00416F71" w:rsidP="00A4518F">
      <w:pPr>
        <w:numPr>
          <w:ilvl w:val="0"/>
          <w:numId w:val="29"/>
        </w:numPr>
        <w:spacing w:line="240" w:lineRule="auto"/>
        <w:jc w:val="both"/>
        <w:rPr>
          <w:rFonts w:cs="Calibri"/>
        </w:rPr>
      </w:pPr>
      <w:r>
        <w:rPr>
          <w:u w:val="single"/>
        </w:rPr>
        <w:t>Indicateur</w:t>
      </w:r>
      <w:r w:rsidR="00473861">
        <w:rPr>
          <w:u w:val="single"/>
        </w:rPr>
        <w:t xml:space="preserve"> sur le</w:t>
      </w:r>
      <w:r>
        <w:rPr>
          <w:u w:val="single"/>
        </w:rPr>
        <w:t xml:space="preserve"> capital-risque avant introduction en bourse</w:t>
      </w:r>
      <w:r>
        <w:rPr>
          <w:b/>
        </w:rPr>
        <w:t> :</w:t>
      </w:r>
      <w:r>
        <w:t xml:space="preserve"> l’accès au financement de l’innovation est-il facile pour les jeunes entreprises et les sociétés non cotées ?</w:t>
      </w:r>
    </w:p>
    <w:p w14:paraId="1C377503" w14:textId="338283B5" w:rsidR="00416F71" w:rsidRPr="00416F71" w:rsidRDefault="00416F71" w:rsidP="00A4518F">
      <w:pPr>
        <w:numPr>
          <w:ilvl w:val="0"/>
          <w:numId w:val="29"/>
        </w:numPr>
        <w:spacing w:line="240" w:lineRule="auto"/>
        <w:jc w:val="both"/>
        <w:rPr>
          <w:rFonts w:cs="Calibri"/>
        </w:rPr>
      </w:pPr>
      <w:r>
        <w:rPr>
          <w:u w:val="single"/>
        </w:rPr>
        <w:t xml:space="preserve">Indicateur </w:t>
      </w:r>
      <w:r w:rsidR="00473861">
        <w:rPr>
          <w:u w:val="single"/>
        </w:rPr>
        <w:t xml:space="preserve">de </w:t>
      </w:r>
      <w:r>
        <w:rPr>
          <w:u w:val="single"/>
        </w:rPr>
        <w:t>financement transfrontalier :</w:t>
      </w:r>
      <w:r>
        <w:t xml:space="preserve"> dans quelle mesure l’investissement transfrontalier est-il facilité ? </w:t>
      </w:r>
    </w:p>
    <w:p w14:paraId="1690A41F" w14:textId="612CAC83" w:rsidR="00416F71" w:rsidRPr="00F3453F" w:rsidRDefault="00416F71" w:rsidP="00A4518F">
      <w:pPr>
        <w:numPr>
          <w:ilvl w:val="0"/>
          <w:numId w:val="29"/>
        </w:numPr>
        <w:spacing w:line="240" w:lineRule="auto"/>
        <w:jc w:val="both"/>
        <w:rPr>
          <w:rFonts w:cs="Calibri"/>
        </w:rPr>
      </w:pPr>
      <w:r>
        <w:rPr>
          <w:u w:val="single"/>
        </w:rPr>
        <w:t>Indicateur de profondeur du marché :</w:t>
      </w:r>
      <w:r>
        <w:t xml:space="preserve"> mesure de la profondeur des marchés de capitaux européens.</w:t>
      </w:r>
    </w:p>
    <w:p w14:paraId="25EF204A" w14:textId="250A6107" w:rsidR="00416F71" w:rsidRPr="00F3453F" w:rsidRDefault="00416F71" w:rsidP="00A4518F">
      <w:pPr>
        <w:spacing w:line="240" w:lineRule="auto"/>
        <w:jc w:val="both"/>
        <w:rPr>
          <w:rFonts w:cs="Calibri"/>
          <w:lang w:eastAsia="en-US"/>
        </w:rPr>
      </w:pPr>
    </w:p>
    <w:p w14:paraId="2A475F0A" w14:textId="5ADC4C5C" w:rsidR="007A1D42" w:rsidRPr="00F3453F" w:rsidRDefault="007A1D42" w:rsidP="0040580A">
      <w:pPr>
        <w:spacing w:line="240" w:lineRule="auto"/>
        <w:jc w:val="both"/>
        <w:outlineLvl w:val="0"/>
        <w:rPr>
          <w:rFonts w:cs="Calibri"/>
          <w:b/>
          <w:sz w:val="24"/>
          <w:szCs w:val="24"/>
          <w:u w:val="single"/>
        </w:rPr>
      </w:pPr>
      <w:r>
        <w:rPr>
          <w:b/>
          <w:sz w:val="24"/>
          <w:szCs w:val="24"/>
          <w:u w:val="single"/>
        </w:rPr>
        <w:t>Quelques-uns des principaux résultats du rapport :</w:t>
      </w:r>
    </w:p>
    <w:p w14:paraId="563D747C" w14:textId="0B88CDDC" w:rsidR="008A7448" w:rsidRPr="00F3453F" w:rsidRDefault="008A7448" w:rsidP="00A4518F">
      <w:pPr>
        <w:pStyle w:val="ListParagraph"/>
        <w:numPr>
          <w:ilvl w:val="0"/>
          <w:numId w:val="30"/>
        </w:numPr>
        <w:spacing w:line="240" w:lineRule="auto"/>
        <w:jc w:val="both"/>
        <w:rPr>
          <w:rFonts w:cs="Calibri"/>
        </w:rPr>
      </w:pPr>
      <w:r>
        <w:rPr>
          <w:b/>
        </w:rPr>
        <w:t>L’Europe a renforcé sa position de leader mondial de la finance durable</w:t>
      </w:r>
    </w:p>
    <w:p w14:paraId="409582DA" w14:textId="409A26C6" w:rsidR="008A7448" w:rsidRPr="00F3453F" w:rsidRDefault="00F77647" w:rsidP="00A4518F">
      <w:pPr>
        <w:spacing w:line="240" w:lineRule="auto"/>
        <w:jc w:val="both"/>
        <w:rPr>
          <w:rFonts w:ascii="Cambria" w:hAnsi="Cambria"/>
        </w:rPr>
      </w:pPr>
      <w:r>
        <w:rPr>
          <w:rFonts w:ascii="Cambria" w:hAnsi="Cambria"/>
        </w:rPr>
        <w:t xml:space="preserve">Les émissions d’obligations vertes, sociales et à double usage (à savoir les obligations qui répondent à la définition d’obligations vertes et sociales) ont augmenté de </w:t>
      </w:r>
      <w:r w:rsidRPr="003F421B">
        <w:rPr>
          <w:rFonts w:ascii="Cambria" w:hAnsi="Cambria"/>
        </w:rPr>
        <w:t>16</w:t>
      </w:r>
      <w:r>
        <w:rPr>
          <w:rFonts w:ascii="Cambria" w:hAnsi="Cambria"/>
        </w:rPr>
        <w:t xml:space="preserve">% au sein de l’UE en </w:t>
      </w:r>
      <w:r w:rsidRPr="003F421B">
        <w:rPr>
          <w:rFonts w:ascii="Cambria" w:hAnsi="Cambria"/>
        </w:rPr>
        <w:t>2018</w:t>
      </w:r>
      <w:r>
        <w:rPr>
          <w:rFonts w:ascii="Cambria" w:hAnsi="Cambria"/>
        </w:rPr>
        <w:t xml:space="preserve"> pour atteindre </w:t>
      </w:r>
      <w:r w:rsidRPr="003F421B">
        <w:rPr>
          <w:rFonts w:ascii="Cambria" w:hAnsi="Cambria"/>
        </w:rPr>
        <w:t>69</w:t>
      </w:r>
      <w:r>
        <w:rPr>
          <w:rFonts w:ascii="Cambria" w:hAnsi="Cambria"/>
        </w:rPr>
        <w:t xml:space="preserve"> milliards €, soit une augmentation de </w:t>
      </w:r>
      <w:r w:rsidRPr="003F421B">
        <w:rPr>
          <w:rFonts w:ascii="Cambria" w:hAnsi="Cambria"/>
        </w:rPr>
        <w:t>9</w:t>
      </w:r>
      <w:r>
        <w:rPr>
          <w:rFonts w:ascii="Cambria" w:hAnsi="Cambria"/>
        </w:rPr>
        <w:t xml:space="preserve"> milliards </w:t>
      </w:r>
      <w:r w:rsidR="00667E6A">
        <w:rPr>
          <w:rFonts w:ascii="Cambria" w:hAnsi="Cambria"/>
        </w:rPr>
        <w:t>d’euros</w:t>
      </w:r>
      <w:r>
        <w:rPr>
          <w:rFonts w:ascii="Cambria" w:hAnsi="Cambria"/>
        </w:rPr>
        <w:t xml:space="preserve"> par rapport à </w:t>
      </w:r>
      <w:r w:rsidRPr="003F421B">
        <w:rPr>
          <w:rFonts w:ascii="Cambria" w:hAnsi="Cambria"/>
        </w:rPr>
        <w:t>2017</w:t>
      </w:r>
      <w:r>
        <w:rPr>
          <w:rFonts w:ascii="Cambria" w:hAnsi="Cambria"/>
        </w:rPr>
        <w:t>.</w:t>
      </w:r>
    </w:p>
    <w:p w14:paraId="53464F1E" w14:textId="4B5602AC" w:rsidR="00A162A3" w:rsidRPr="00F3453F" w:rsidRDefault="00A162A3" w:rsidP="00A4518F">
      <w:pPr>
        <w:spacing w:line="240" w:lineRule="auto"/>
        <w:jc w:val="both"/>
        <w:rPr>
          <w:rFonts w:ascii="Cambria" w:hAnsi="Cambria"/>
        </w:rPr>
      </w:pPr>
    </w:p>
    <w:p w14:paraId="0DA8FE4F" w14:textId="2A81BD77" w:rsidR="00A162A3" w:rsidRPr="00F3453F" w:rsidRDefault="00A162A3" w:rsidP="00A4518F">
      <w:pPr>
        <w:pStyle w:val="ListParagraph"/>
        <w:numPr>
          <w:ilvl w:val="0"/>
          <w:numId w:val="30"/>
        </w:numPr>
        <w:spacing w:line="240" w:lineRule="auto"/>
        <w:jc w:val="both"/>
        <w:rPr>
          <w:rFonts w:ascii="Cambria" w:hAnsi="Cambria"/>
        </w:rPr>
      </w:pPr>
      <w:r>
        <w:rPr>
          <w:rFonts w:ascii="Cambria" w:hAnsi="Cambria"/>
          <w:b/>
        </w:rPr>
        <w:lastRenderedPageBreak/>
        <w:t xml:space="preserve">L’UE des </w:t>
      </w:r>
      <w:r w:rsidRPr="003F421B">
        <w:rPr>
          <w:rFonts w:ascii="Cambria" w:hAnsi="Cambria"/>
          <w:b/>
        </w:rPr>
        <w:t>27</w:t>
      </w:r>
      <w:r>
        <w:rPr>
          <w:rFonts w:ascii="Cambria" w:hAnsi="Cambria"/>
          <w:b/>
        </w:rPr>
        <w:t xml:space="preserve"> est en retard en matière de financement des </w:t>
      </w:r>
      <w:r w:rsidR="00667E6A">
        <w:rPr>
          <w:rFonts w:ascii="Cambria" w:hAnsi="Cambria"/>
          <w:b/>
        </w:rPr>
        <w:t>FinTech</w:t>
      </w:r>
      <w:r w:rsidR="008448BC">
        <w:rPr>
          <w:rFonts w:ascii="Cambria" w:hAnsi="Cambria"/>
          <w:b/>
        </w:rPr>
        <w:t>s</w:t>
      </w:r>
    </w:p>
    <w:p w14:paraId="0BC3FF4E" w14:textId="1BDEC76A" w:rsidR="00A162A3" w:rsidRDefault="00A162A3" w:rsidP="00A4518F">
      <w:pPr>
        <w:spacing w:line="240" w:lineRule="auto"/>
        <w:jc w:val="both"/>
        <w:rPr>
          <w:rFonts w:ascii="Cambria" w:hAnsi="Cambria"/>
        </w:rPr>
      </w:pPr>
      <w:r>
        <w:rPr>
          <w:rFonts w:ascii="Cambria" w:hAnsi="Cambria"/>
        </w:rPr>
        <w:t xml:space="preserve">Les sociétés de technologies financières de l’Union des </w:t>
      </w:r>
      <w:r w:rsidRPr="003F421B">
        <w:rPr>
          <w:rFonts w:ascii="Cambria" w:hAnsi="Cambria"/>
        </w:rPr>
        <w:t>27</w:t>
      </w:r>
      <w:r>
        <w:rPr>
          <w:rFonts w:ascii="Cambria" w:hAnsi="Cambria"/>
        </w:rPr>
        <w:t xml:space="preserve"> n’ont bénéficié que de </w:t>
      </w:r>
      <w:r w:rsidRPr="003F421B">
        <w:rPr>
          <w:rFonts w:ascii="Cambria" w:hAnsi="Cambria"/>
        </w:rPr>
        <w:t>7</w:t>
      </w:r>
      <w:r>
        <w:rPr>
          <w:rFonts w:ascii="Cambria" w:hAnsi="Cambria"/>
        </w:rPr>
        <w:t>,</w:t>
      </w:r>
      <w:r w:rsidRPr="003F421B">
        <w:rPr>
          <w:rFonts w:ascii="Cambria" w:hAnsi="Cambria"/>
        </w:rPr>
        <w:t>2</w:t>
      </w:r>
      <w:r>
        <w:rPr>
          <w:rFonts w:ascii="Cambria" w:hAnsi="Cambria"/>
        </w:rPr>
        <w:t xml:space="preserve"> milliards</w:t>
      </w:r>
      <w:r w:rsidR="00667E6A">
        <w:rPr>
          <w:rFonts w:ascii="Cambria" w:hAnsi="Cambria"/>
        </w:rPr>
        <w:t xml:space="preserve"> de dollars</w:t>
      </w:r>
      <w:r>
        <w:rPr>
          <w:rFonts w:ascii="Cambria" w:hAnsi="Cambria"/>
        </w:rPr>
        <w:t xml:space="preserve"> d’investissements (capital-risque, capital-création, investissements providentiels et capital-investissement) depuis </w:t>
      </w:r>
      <w:r w:rsidRPr="003F421B">
        <w:rPr>
          <w:rFonts w:ascii="Cambria" w:hAnsi="Cambria"/>
        </w:rPr>
        <w:t>2009</w:t>
      </w:r>
      <w:r>
        <w:rPr>
          <w:rFonts w:ascii="Cambria" w:hAnsi="Cambria"/>
        </w:rPr>
        <w:t xml:space="preserve">, contre </w:t>
      </w:r>
      <w:r w:rsidRPr="003F421B">
        <w:rPr>
          <w:rFonts w:ascii="Cambria" w:hAnsi="Cambria"/>
        </w:rPr>
        <w:t>120</w:t>
      </w:r>
      <w:r>
        <w:rPr>
          <w:rFonts w:ascii="Cambria" w:hAnsi="Cambria"/>
        </w:rPr>
        <w:t xml:space="preserve"> milliards </w:t>
      </w:r>
      <w:r w:rsidR="00667E6A">
        <w:rPr>
          <w:rFonts w:ascii="Cambria" w:hAnsi="Cambria"/>
        </w:rPr>
        <w:t>de dollars</w:t>
      </w:r>
      <w:r>
        <w:rPr>
          <w:rFonts w:ascii="Cambria" w:hAnsi="Cambria"/>
        </w:rPr>
        <w:t xml:space="preserve"> aux États-Unis, </w:t>
      </w:r>
      <w:r w:rsidRPr="003F421B">
        <w:rPr>
          <w:rFonts w:ascii="Cambria" w:hAnsi="Cambria"/>
        </w:rPr>
        <w:t>20</w:t>
      </w:r>
      <w:r>
        <w:rPr>
          <w:rFonts w:ascii="Cambria" w:hAnsi="Cambria"/>
        </w:rPr>
        <w:t>,</w:t>
      </w:r>
      <w:r w:rsidRPr="003F421B">
        <w:rPr>
          <w:rFonts w:ascii="Cambria" w:hAnsi="Cambria"/>
        </w:rPr>
        <w:t>3</w:t>
      </w:r>
      <w:r>
        <w:rPr>
          <w:rFonts w:ascii="Cambria" w:hAnsi="Cambria"/>
        </w:rPr>
        <w:t xml:space="preserve"> milliards </w:t>
      </w:r>
      <w:r w:rsidR="00667E6A">
        <w:rPr>
          <w:rFonts w:ascii="Cambria" w:hAnsi="Cambria"/>
        </w:rPr>
        <w:t>de dollars</w:t>
      </w:r>
      <w:r>
        <w:rPr>
          <w:rFonts w:ascii="Cambria" w:hAnsi="Cambria"/>
        </w:rPr>
        <w:t xml:space="preserve"> au Royaume-Uni et </w:t>
      </w:r>
      <w:r w:rsidRPr="003F421B">
        <w:rPr>
          <w:rFonts w:ascii="Cambria" w:hAnsi="Cambria"/>
        </w:rPr>
        <w:t>23</w:t>
      </w:r>
      <w:r>
        <w:rPr>
          <w:rFonts w:ascii="Cambria" w:hAnsi="Cambria"/>
        </w:rPr>
        <w:t>,</w:t>
      </w:r>
      <w:r w:rsidRPr="003F421B">
        <w:rPr>
          <w:rFonts w:ascii="Cambria" w:hAnsi="Cambria"/>
        </w:rPr>
        <w:t>8</w:t>
      </w:r>
      <w:r>
        <w:rPr>
          <w:rFonts w:ascii="Cambria" w:hAnsi="Cambria"/>
        </w:rPr>
        <w:t xml:space="preserve"> milliards </w:t>
      </w:r>
      <w:r w:rsidR="00667E6A">
        <w:rPr>
          <w:rFonts w:ascii="Cambria" w:hAnsi="Cambria"/>
        </w:rPr>
        <w:t>de dollars</w:t>
      </w:r>
      <w:r>
        <w:rPr>
          <w:rFonts w:ascii="Cambria" w:hAnsi="Cambria"/>
        </w:rPr>
        <w:t xml:space="preserve"> en Chine.  La première place du Royaume-Uni est due à son environnement réglementaire adapté et à un </w:t>
      </w:r>
      <w:r w:rsidR="00BE3EBE">
        <w:rPr>
          <w:rFonts w:ascii="Cambria" w:hAnsi="Cambria"/>
        </w:rPr>
        <w:t xml:space="preserve">vaste </w:t>
      </w:r>
      <w:r>
        <w:rPr>
          <w:rFonts w:ascii="Cambria" w:hAnsi="Cambria"/>
        </w:rPr>
        <w:t>marché de financement local pour les nouvelles sociétés.</w:t>
      </w:r>
    </w:p>
    <w:p w14:paraId="6FC56F03" w14:textId="0440B1FE" w:rsidR="00826458" w:rsidRDefault="00826458" w:rsidP="00A4518F">
      <w:pPr>
        <w:spacing w:line="240" w:lineRule="auto"/>
        <w:jc w:val="both"/>
        <w:rPr>
          <w:rFonts w:ascii="Cambria" w:hAnsi="Cambria"/>
        </w:rPr>
      </w:pPr>
    </w:p>
    <w:p w14:paraId="2B808464" w14:textId="77777777" w:rsidR="00826458" w:rsidRPr="00F3453F" w:rsidDel="008A7448" w:rsidRDefault="00826458" w:rsidP="00826458">
      <w:pPr>
        <w:pStyle w:val="ListParagraph"/>
        <w:numPr>
          <w:ilvl w:val="0"/>
          <w:numId w:val="30"/>
        </w:numPr>
        <w:spacing w:line="240" w:lineRule="auto"/>
        <w:jc w:val="both"/>
        <w:rPr>
          <w:rFonts w:cs="Calibri"/>
          <w:b/>
        </w:rPr>
      </w:pPr>
      <w:r>
        <w:rPr>
          <w:b/>
        </w:rPr>
        <w:t xml:space="preserve">La dépendance de l’Europe à l’égard des prêts bancaires a augmenté </w:t>
      </w:r>
    </w:p>
    <w:p w14:paraId="7C63CC1D" w14:textId="77777777" w:rsidR="00826458" w:rsidRPr="00F3453F" w:rsidDel="008A7448" w:rsidRDefault="00826458" w:rsidP="00826458">
      <w:pPr>
        <w:spacing w:line="240" w:lineRule="auto"/>
        <w:jc w:val="both"/>
        <w:rPr>
          <w:rFonts w:cs="Calibri"/>
        </w:rPr>
      </w:pPr>
      <w:r>
        <w:t xml:space="preserve">Les sociétés européennes s’appuient encore trop sur les prêts bancaires. En effet, </w:t>
      </w:r>
      <w:r w:rsidRPr="003F421B">
        <w:t>88</w:t>
      </w:r>
      <w:r>
        <w:t xml:space="preserve">% de leurs nouveaux financements en </w:t>
      </w:r>
      <w:r w:rsidRPr="003F421B">
        <w:t>2018</w:t>
      </w:r>
      <w:r>
        <w:t xml:space="preserve"> proviennent des banques et seulement </w:t>
      </w:r>
      <w:r w:rsidRPr="003F421B">
        <w:t>12</w:t>
      </w:r>
      <w:r>
        <w:t xml:space="preserve">% des marchés de capitaux, ce qui constitue une baisse de </w:t>
      </w:r>
      <w:r w:rsidRPr="003F421B">
        <w:t>14</w:t>
      </w:r>
      <w:r>
        <w:t xml:space="preserve">% en moyenne sur la période </w:t>
      </w:r>
      <w:r w:rsidRPr="003F421B">
        <w:t>2013</w:t>
      </w:r>
      <w:r>
        <w:t>-</w:t>
      </w:r>
      <w:r w:rsidRPr="003F421B">
        <w:t>2017</w:t>
      </w:r>
      <w:r>
        <w:t xml:space="preserve">.    </w:t>
      </w:r>
    </w:p>
    <w:p w14:paraId="40F8FFF7" w14:textId="77777777" w:rsidR="00826458" w:rsidRDefault="00826458" w:rsidP="00A4518F">
      <w:pPr>
        <w:spacing w:line="240" w:lineRule="auto"/>
        <w:jc w:val="both"/>
        <w:rPr>
          <w:rFonts w:ascii="Cambria" w:hAnsi="Cambria"/>
        </w:rPr>
      </w:pPr>
    </w:p>
    <w:p w14:paraId="1EBF9514" w14:textId="36C6D0E5" w:rsidR="00520EC8" w:rsidRDefault="00520EC8" w:rsidP="00A4518F">
      <w:pPr>
        <w:spacing w:line="240" w:lineRule="auto"/>
        <w:jc w:val="both"/>
        <w:rPr>
          <w:rFonts w:ascii="Cambria" w:hAnsi="Cambria"/>
        </w:rPr>
      </w:pPr>
    </w:p>
    <w:p w14:paraId="74925B35" w14:textId="77777777" w:rsidR="00520EC8" w:rsidRPr="00520EC8" w:rsidRDefault="00520EC8" w:rsidP="00520EC8">
      <w:pPr>
        <w:numPr>
          <w:ilvl w:val="0"/>
          <w:numId w:val="30"/>
        </w:numPr>
        <w:spacing w:line="240" w:lineRule="auto"/>
        <w:jc w:val="both"/>
        <w:rPr>
          <w:rFonts w:ascii="Cambria" w:hAnsi="Cambria"/>
          <w:b/>
        </w:rPr>
      </w:pPr>
      <w:r>
        <w:rPr>
          <w:rFonts w:ascii="Cambria" w:hAnsi="Cambria"/>
          <w:b/>
        </w:rPr>
        <w:t xml:space="preserve">La disponibilité des réserves de capitaux en Europe a diminué en </w:t>
      </w:r>
      <w:r w:rsidRPr="003F421B">
        <w:rPr>
          <w:rFonts w:ascii="Cambria" w:hAnsi="Cambria"/>
          <w:b/>
        </w:rPr>
        <w:t>2018</w:t>
      </w:r>
    </w:p>
    <w:p w14:paraId="2DC1E69B" w14:textId="285F03D9" w:rsidR="00520EC8" w:rsidRPr="00520EC8" w:rsidRDefault="00520EC8" w:rsidP="00520EC8">
      <w:pPr>
        <w:spacing w:line="240" w:lineRule="auto"/>
        <w:jc w:val="both"/>
        <w:rPr>
          <w:rFonts w:ascii="Cambria" w:hAnsi="Cambria"/>
          <w:b/>
        </w:rPr>
      </w:pPr>
      <w:r>
        <w:rPr>
          <w:rFonts w:ascii="Cambria" w:hAnsi="Cambria"/>
        </w:rPr>
        <w:t xml:space="preserve">En raison d’une baisse temporaire des prix des actifs, la valeur de l’épargne des ménages investie dans des instruments des marchés de capitaux au sein de l’UE (actions, parts de fonds d’investissement, obligations, produits d’assurance et de retraite) a chuté, passant de </w:t>
      </w:r>
      <w:r w:rsidRPr="003F421B">
        <w:rPr>
          <w:rFonts w:ascii="Cambria" w:hAnsi="Cambria"/>
        </w:rPr>
        <w:t>118</w:t>
      </w:r>
      <w:r>
        <w:rPr>
          <w:rFonts w:ascii="Cambria" w:hAnsi="Cambria"/>
        </w:rPr>
        <w:t xml:space="preserve">% du PIB en moyenne en </w:t>
      </w:r>
      <w:r w:rsidRPr="003F421B">
        <w:rPr>
          <w:rFonts w:ascii="Cambria" w:hAnsi="Cambria"/>
        </w:rPr>
        <w:t>2017</w:t>
      </w:r>
      <w:r>
        <w:rPr>
          <w:rFonts w:ascii="Cambria" w:hAnsi="Cambria"/>
        </w:rPr>
        <w:t xml:space="preserve">  à </w:t>
      </w:r>
      <w:r w:rsidRPr="003F421B">
        <w:rPr>
          <w:rFonts w:ascii="Cambria" w:hAnsi="Cambria"/>
        </w:rPr>
        <w:t>113</w:t>
      </w:r>
      <w:r>
        <w:rPr>
          <w:rFonts w:ascii="Cambria" w:hAnsi="Cambria"/>
        </w:rPr>
        <w:t xml:space="preserve">% du PIB en </w:t>
      </w:r>
      <w:r w:rsidRPr="003F421B">
        <w:rPr>
          <w:rFonts w:ascii="Cambria" w:hAnsi="Cambria"/>
        </w:rPr>
        <w:t>2018</w:t>
      </w:r>
      <w:r>
        <w:rPr>
          <w:rFonts w:ascii="Cambria" w:hAnsi="Cambria"/>
        </w:rPr>
        <w:t xml:space="preserve">.  </w:t>
      </w:r>
    </w:p>
    <w:p w14:paraId="3DB152FB" w14:textId="77777777" w:rsidR="00A162A3" w:rsidRPr="00F3453F" w:rsidRDefault="00A162A3" w:rsidP="00A4518F">
      <w:pPr>
        <w:spacing w:line="240" w:lineRule="auto"/>
        <w:jc w:val="both"/>
        <w:rPr>
          <w:rFonts w:ascii="Cambria" w:hAnsi="Cambria"/>
        </w:rPr>
      </w:pPr>
    </w:p>
    <w:p w14:paraId="42C9C867" w14:textId="2BF2C562" w:rsidR="008A7448" w:rsidRPr="00F3453F" w:rsidRDefault="00F3453F" w:rsidP="00A4518F">
      <w:pPr>
        <w:pStyle w:val="ListParagraph"/>
        <w:numPr>
          <w:ilvl w:val="0"/>
          <w:numId w:val="30"/>
        </w:numPr>
        <w:spacing w:line="240" w:lineRule="auto"/>
        <w:jc w:val="both"/>
        <w:rPr>
          <w:rFonts w:cs="Calibri"/>
          <w:b/>
        </w:rPr>
      </w:pPr>
      <w:r>
        <w:rPr>
          <w:b/>
        </w:rPr>
        <w:t>L’Europe continue à accroître les sources de financement par capital-risque pour que les PME puissent financer leur croissance</w:t>
      </w:r>
    </w:p>
    <w:p w14:paraId="455DE446" w14:textId="456587EA" w:rsidR="008A7448" w:rsidRPr="00F3453F" w:rsidRDefault="00F3453F" w:rsidP="00A4518F">
      <w:pPr>
        <w:spacing w:line="240" w:lineRule="auto"/>
        <w:jc w:val="both"/>
        <w:rPr>
          <w:rFonts w:ascii="Cambria" w:hAnsi="Cambria"/>
        </w:rPr>
      </w:pPr>
      <w:r>
        <w:rPr>
          <w:rFonts w:ascii="Cambria" w:hAnsi="Cambria"/>
        </w:rPr>
        <w:t xml:space="preserve">Les PME ont connu une augmentation annuelle de </w:t>
      </w:r>
      <w:r w:rsidRPr="003F421B">
        <w:rPr>
          <w:rFonts w:ascii="Cambria" w:hAnsi="Cambria"/>
        </w:rPr>
        <w:t>8</w:t>
      </w:r>
      <w:r>
        <w:rPr>
          <w:rFonts w:ascii="Cambria" w:hAnsi="Cambria"/>
        </w:rPr>
        <w:t xml:space="preserve">% des investissements des fonds de capital-investissement, de </w:t>
      </w:r>
      <w:r w:rsidRPr="003F421B">
        <w:rPr>
          <w:rFonts w:ascii="Cambria" w:hAnsi="Cambria"/>
        </w:rPr>
        <w:t>12</w:t>
      </w:r>
      <w:r>
        <w:rPr>
          <w:rFonts w:ascii="Cambria" w:hAnsi="Cambria"/>
        </w:rPr>
        <w:t xml:space="preserve">% du capital-risque, de </w:t>
      </w:r>
      <w:r w:rsidRPr="003F421B">
        <w:rPr>
          <w:rFonts w:ascii="Cambria" w:hAnsi="Cambria"/>
        </w:rPr>
        <w:t>24</w:t>
      </w:r>
      <w:r>
        <w:rPr>
          <w:rFonts w:ascii="Cambria" w:hAnsi="Cambria"/>
        </w:rPr>
        <w:t xml:space="preserve">% du financement participatif, de </w:t>
      </w:r>
      <w:r w:rsidRPr="003F421B">
        <w:rPr>
          <w:rFonts w:ascii="Cambria" w:hAnsi="Cambria"/>
        </w:rPr>
        <w:t>8</w:t>
      </w:r>
      <w:r>
        <w:rPr>
          <w:rFonts w:ascii="Cambria" w:hAnsi="Cambria"/>
        </w:rPr>
        <w:t xml:space="preserve">% du financement par les investisseurs providentiels et de </w:t>
      </w:r>
      <w:r w:rsidRPr="003F421B">
        <w:rPr>
          <w:rFonts w:ascii="Cambria" w:hAnsi="Cambria"/>
        </w:rPr>
        <w:t>5</w:t>
      </w:r>
      <w:r>
        <w:rPr>
          <w:rFonts w:ascii="Cambria" w:hAnsi="Cambria"/>
        </w:rPr>
        <w:t xml:space="preserve">% des nouveaux prêts bancaires aux PME. Le capital-risque avant introduction en bourse représentait </w:t>
      </w:r>
      <w:r w:rsidRPr="003F421B">
        <w:rPr>
          <w:rFonts w:ascii="Cambria" w:hAnsi="Cambria"/>
        </w:rPr>
        <w:t>2</w:t>
      </w:r>
      <w:r>
        <w:rPr>
          <w:rFonts w:ascii="Cambria" w:hAnsi="Cambria"/>
        </w:rPr>
        <w:t>,</w:t>
      </w:r>
      <w:r w:rsidRPr="003F421B">
        <w:rPr>
          <w:rFonts w:ascii="Cambria" w:hAnsi="Cambria"/>
        </w:rPr>
        <w:t>64</w:t>
      </w:r>
      <w:r>
        <w:rPr>
          <w:rFonts w:ascii="Cambria" w:hAnsi="Cambria"/>
        </w:rPr>
        <w:t xml:space="preserve">% du flux annuel total de financement des PME (y compris les prêts bancaires) contre </w:t>
      </w:r>
      <w:r w:rsidRPr="003F421B">
        <w:rPr>
          <w:rFonts w:ascii="Cambria" w:hAnsi="Cambria"/>
        </w:rPr>
        <w:t>2</w:t>
      </w:r>
      <w:r>
        <w:rPr>
          <w:rFonts w:ascii="Cambria" w:hAnsi="Cambria"/>
        </w:rPr>
        <w:t>,</w:t>
      </w:r>
      <w:r w:rsidRPr="003F421B">
        <w:rPr>
          <w:rFonts w:ascii="Cambria" w:hAnsi="Cambria"/>
        </w:rPr>
        <w:t>55</w:t>
      </w:r>
      <w:r>
        <w:rPr>
          <w:rFonts w:ascii="Cambria" w:hAnsi="Cambria"/>
        </w:rPr>
        <w:t xml:space="preserve">% en </w:t>
      </w:r>
      <w:r w:rsidRPr="003F421B">
        <w:rPr>
          <w:rFonts w:ascii="Cambria" w:hAnsi="Cambria"/>
        </w:rPr>
        <w:t>2017</w:t>
      </w:r>
      <w:r>
        <w:rPr>
          <w:rFonts w:ascii="Cambria" w:hAnsi="Cambria"/>
        </w:rPr>
        <w:t xml:space="preserve"> et </w:t>
      </w:r>
      <w:r w:rsidRPr="003F421B">
        <w:rPr>
          <w:rFonts w:ascii="Cambria" w:hAnsi="Cambria"/>
        </w:rPr>
        <w:t>1</w:t>
      </w:r>
      <w:r>
        <w:rPr>
          <w:rFonts w:ascii="Cambria" w:hAnsi="Cambria"/>
        </w:rPr>
        <w:t>,</w:t>
      </w:r>
      <w:r w:rsidRPr="003F421B">
        <w:rPr>
          <w:rFonts w:ascii="Cambria" w:hAnsi="Cambria"/>
        </w:rPr>
        <w:t>4</w:t>
      </w:r>
      <w:r>
        <w:rPr>
          <w:rFonts w:ascii="Cambria" w:hAnsi="Cambria"/>
        </w:rPr>
        <w:t xml:space="preserve">% en </w:t>
      </w:r>
      <w:r w:rsidRPr="003F421B">
        <w:rPr>
          <w:rFonts w:ascii="Cambria" w:hAnsi="Cambria"/>
        </w:rPr>
        <w:t>2013</w:t>
      </w:r>
      <w:r>
        <w:rPr>
          <w:rFonts w:ascii="Cambria" w:hAnsi="Cambria"/>
        </w:rPr>
        <w:t>.</w:t>
      </w:r>
    </w:p>
    <w:p w14:paraId="631C043B" w14:textId="77777777" w:rsidR="00F3453F" w:rsidRPr="00F3453F" w:rsidRDefault="00F3453F" w:rsidP="00A4518F">
      <w:pPr>
        <w:spacing w:line="240" w:lineRule="auto"/>
        <w:jc w:val="both"/>
        <w:rPr>
          <w:rFonts w:cs="Calibri"/>
          <w:lang w:eastAsia="en-US"/>
        </w:rPr>
      </w:pPr>
    </w:p>
    <w:p w14:paraId="4C5ECF25" w14:textId="4B70E4C9" w:rsidR="00F3453F" w:rsidRPr="00F3453F" w:rsidRDefault="00520EC8" w:rsidP="00A4518F">
      <w:pPr>
        <w:pStyle w:val="ListParagraph"/>
        <w:numPr>
          <w:ilvl w:val="0"/>
          <w:numId w:val="30"/>
        </w:numPr>
        <w:spacing w:line="240" w:lineRule="auto"/>
        <w:jc w:val="both"/>
        <w:rPr>
          <w:rFonts w:ascii="Cambria" w:hAnsi="Cambria"/>
        </w:rPr>
      </w:pPr>
      <w:r>
        <w:rPr>
          <w:rFonts w:ascii="Cambria" w:hAnsi="Cambria"/>
          <w:b/>
        </w:rPr>
        <w:t xml:space="preserve">L’écosystème des marchés de capitaux de l’UE s’est détérioré en </w:t>
      </w:r>
      <w:r w:rsidRPr="003F421B">
        <w:rPr>
          <w:rFonts w:ascii="Cambria" w:hAnsi="Cambria"/>
          <w:b/>
        </w:rPr>
        <w:t>2018</w:t>
      </w:r>
      <w:r>
        <w:rPr>
          <w:rFonts w:ascii="Cambria" w:hAnsi="Cambria"/>
        </w:rPr>
        <w:t xml:space="preserve"> </w:t>
      </w:r>
    </w:p>
    <w:p w14:paraId="00B9A383" w14:textId="602353E0" w:rsidR="0043709E" w:rsidRPr="00F3453F" w:rsidRDefault="00520EC8" w:rsidP="00A4518F">
      <w:pPr>
        <w:spacing w:line="240" w:lineRule="auto"/>
        <w:jc w:val="both"/>
        <w:rPr>
          <w:rFonts w:ascii="Cambria" w:hAnsi="Cambria"/>
        </w:rPr>
      </w:pPr>
      <w:r>
        <w:rPr>
          <w:rFonts w:ascii="Cambria" w:hAnsi="Cambria"/>
        </w:rPr>
        <w:t xml:space="preserve">Ceci est principalement dû à la baisse des émissions d’instruments de marché tels que les actions et obligations et à la baisse de la valeur totale de l’épargne financière des ménages suite à la correction des prix des actifs survenue à la fin de l'année </w:t>
      </w:r>
      <w:r w:rsidRPr="003F421B">
        <w:rPr>
          <w:rFonts w:ascii="Cambria" w:hAnsi="Cambria"/>
        </w:rPr>
        <w:t>2018</w:t>
      </w:r>
      <w:r>
        <w:rPr>
          <w:rFonts w:ascii="Cambria" w:hAnsi="Cambria"/>
        </w:rPr>
        <w:t xml:space="preserve"> (comme indiqué précédemment)</w:t>
      </w:r>
      <w:r>
        <w:rPr>
          <w:rFonts w:ascii="Cambria" w:hAnsi="Cambria"/>
          <w:b/>
        </w:rPr>
        <w:t>.</w:t>
      </w:r>
      <w:r>
        <w:rPr>
          <w:rFonts w:ascii="Cambria" w:hAnsi="Cambria"/>
        </w:rPr>
        <w:t xml:space="preserve"> Cependant, la région d’Europe centrale et orientale a enregistré une augmentation encourageante des émissions primaires d’actions et d’obligations.</w:t>
      </w:r>
    </w:p>
    <w:p w14:paraId="545D1A88" w14:textId="77777777" w:rsidR="00F3453F" w:rsidRPr="00F3453F" w:rsidRDefault="00F3453F" w:rsidP="00A4518F">
      <w:pPr>
        <w:spacing w:line="240" w:lineRule="auto"/>
        <w:jc w:val="both"/>
        <w:rPr>
          <w:rFonts w:cs="Calibri"/>
          <w:lang w:eastAsia="en-US"/>
        </w:rPr>
      </w:pPr>
    </w:p>
    <w:p w14:paraId="1AE6E4FB" w14:textId="20910F81" w:rsidR="0043709E" w:rsidRPr="00F3453F" w:rsidRDefault="00023EB9" w:rsidP="00A4518F">
      <w:pPr>
        <w:pStyle w:val="ListParagraph"/>
        <w:numPr>
          <w:ilvl w:val="0"/>
          <w:numId w:val="30"/>
        </w:numPr>
        <w:spacing w:line="240" w:lineRule="auto"/>
        <w:jc w:val="both"/>
        <w:rPr>
          <w:rFonts w:cs="Calibri"/>
        </w:rPr>
      </w:pPr>
      <w:r>
        <w:rPr>
          <w:b/>
        </w:rPr>
        <w:t xml:space="preserve">Davantage de créances irrécouvrables ont été converties en instruments des marchés de capitaux  </w:t>
      </w:r>
    </w:p>
    <w:p w14:paraId="7045DA93" w14:textId="07260E1C" w:rsidR="0043709E" w:rsidRDefault="00023EB9" w:rsidP="00A4518F">
      <w:pPr>
        <w:spacing w:line="240" w:lineRule="auto"/>
        <w:jc w:val="both"/>
        <w:rPr>
          <w:rFonts w:cs="Calibri"/>
        </w:rPr>
      </w:pPr>
      <w:r>
        <w:t xml:space="preserve">Les cessions de portefeuilles de prêts par les banques européennes ont augmenté de </w:t>
      </w:r>
      <w:r w:rsidRPr="003F421B">
        <w:t>32</w:t>
      </w:r>
      <w:r>
        <w:t xml:space="preserve">% en </w:t>
      </w:r>
      <w:r w:rsidRPr="003F421B">
        <w:t>2018</w:t>
      </w:r>
      <w:r>
        <w:t xml:space="preserve"> pour atteindre </w:t>
      </w:r>
      <w:r w:rsidRPr="003F421B">
        <w:t>182</w:t>
      </w:r>
      <w:r>
        <w:t xml:space="preserve"> milliards </w:t>
      </w:r>
      <w:r w:rsidR="005D3822">
        <w:t>d’euros</w:t>
      </w:r>
      <w:r>
        <w:t xml:space="preserve">, le montant annuel le plus élevé négocié à ce jour. Cette évolution a été motivée par une autre année de croissance considérable du segment des créances irrécouvrables, les banques des pays européens ayant accéléré la vente de leurs prêts non remboursés (ou NPL), </w:t>
      </w:r>
      <w:r w:rsidR="002D3674">
        <w:t xml:space="preserve">une action </w:t>
      </w:r>
      <w:r>
        <w:t>encouragée par les évolutions réglementaires.</w:t>
      </w:r>
    </w:p>
    <w:p w14:paraId="70CF7283" w14:textId="1813AD0C" w:rsidR="001B2A09" w:rsidRDefault="001B2A09" w:rsidP="00A4518F">
      <w:pPr>
        <w:spacing w:line="240" w:lineRule="auto"/>
        <w:jc w:val="both"/>
        <w:rPr>
          <w:rFonts w:cs="Calibri"/>
          <w:lang w:eastAsia="en-US"/>
        </w:rPr>
      </w:pPr>
    </w:p>
    <w:p w14:paraId="60193298" w14:textId="486D2A1E" w:rsidR="001B2A09" w:rsidRPr="00461ED3" w:rsidRDefault="00461ED3" w:rsidP="0040580A">
      <w:pPr>
        <w:spacing w:line="240" w:lineRule="auto"/>
        <w:jc w:val="both"/>
        <w:outlineLvl w:val="0"/>
        <w:rPr>
          <w:rFonts w:cs="Calibri"/>
          <w:b/>
          <w:sz w:val="24"/>
          <w:szCs w:val="24"/>
          <w:u w:val="single"/>
        </w:rPr>
      </w:pPr>
      <w:r>
        <w:rPr>
          <w:b/>
          <w:sz w:val="24"/>
          <w:szCs w:val="24"/>
          <w:u w:val="single"/>
        </w:rPr>
        <w:t xml:space="preserve">Performance des pays de l’Union des </w:t>
      </w:r>
      <w:r w:rsidRPr="003F421B">
        <w:rPr>
          <w:b/>
          <w:sz w:val="24"/>
          <w:szCs w:val="24"/>
          <w:u w:val="single"/>
        </w:rPr>
        <w:t>28</w:t>
      </w:r>
      <w:r>
        <w:rPr>
          <w:b/>
          <w:sz w:val="24"/>
          <w:szCs w:val="24"/>
          <w:u w:val="single"/>
        </w:rPr>
        <w:t xml:space="preserve"> </w:t>
      </w:r>
    </w:p>
    <w:p w14:paraId="74276485" w14:textId="0AA3F13B" w:rsidR="00C74427" w:rsidRPr="00380CAA" w:rsidRDefault="00C74427" w:rsidP="00A4518F">
      <w:pPr>
        <w:jc w:val="both"/>
        <w:rPr>
          <w:rFonts w:cs="Calibri"/>
        </w:rPr>
      </w:pPr>
      <w:r>
        <w:t xml:space="preserve">Une comparaison des </w:t>
      </w:r>
      <w:r w:rsidRPr="003F421B">
        <w:t>28</w:t>
      </w:r>
      <w:r>
        <w:t xml:space="preserve"> États Membres de l’UE et de leur performance individuelle par rapport à chaque indicateur a été réalisée. Les résultats sont disponibles à la page </w:t>
      </w:r>
      <w:r w:rsidRPr="003F421B">
        <w:t>10</w:t>
      </w:r>
      <w:r>
        <w:t xml:space="preserve"> du rapport. Voici quelques-uns des principaux résultats : </w:t>
      </w:r>
    </w:p>
    <w:p w14:paraId="264837A8" w14:textId="77777777" w:rsidR="00C74427" w:rsidRDefault="00C74427" w:rsidP="00A4518F">
      <w:pPr>
        <w:spacing w:line="240" w:lineRule="auto"/>
        <w:jc w:val="both"/>
        <w:rPr>
          <w:rFonts w:cs="Calibri"/>
          <w:lang w:eastAsia="en-US"/>
        </w:rPr>
      </w:pPr>
    </w:p>
    <w:p w14:paraId="3B8BECE4" w14:textId="19F3BBAD" w:rsidR="00C74427" w:rsidRPr="00B22FEB" w:rsidRDefault="00C74427" w:rsidP="00A4518F">
      <w:pPr>
        <w:pStyle w:val="ListParagraph"/>
        <w:numPr>
          <w:ilvl w:val="0"/>
          <w:numId w:val="30"/>
        </w:numPr>
        <w:spacing w:line="240" w:lineRule="auto"/>
        <w:jc w:val="both"/>
        <w:rPr>
          <w:rFonts w:cs="Calibri"/>
        </w:rPr>
      </w:pPr>
      <w:r>
        <w:rPr>
          <w:b/>
        </w:rPr>
        <w:t xml:space="preserve">Le Royaume-Uni </w:t>
      </w:r>
      <w:r>
        <w:t>est en tête de l’UE en matière de nouveaux financements en obligations ou en fonds propres aux sociétés non financières</w:t>
      </w:r>
      <w:r w:rsidR="007745A2">
        <w:t xml:space="preserve"> (SNF)</w:t>
      </w:r>
      <w:r>
        <w:t xml:space="preserve"> : </w:t>
      </w:r>
      <w:r w:rsidRPr="003F421B">
        <w:t>26</w:t>
      </w:r>
      <w:r>
        <w:t xml:space="preserve">% des nouveaux financements proviennent des marchés. </w:t>
      </w:r>
      <w:r>
        <w:rPr>
          <w:b/>
        </w:rPr>
        <w:t>Les Pays-Bas et la France</w:t>
      </w:r>
      <w:r>
        <w:t xml:space="preserve"> suivent de près avec les instruments de marché fournissant </w:t>
      </w:r>
      <w:r w:rsidRPr="003F421B">
        <w:t>18</w:t>
      </w:r>
      <w:r>
        <w:t xml:space="preserve">% du total des </w:t>
      </w:r>
      <w:r>
        <w:lastRenderedPageBreak/>
        <w:t xml:space="preserve">nouveaux financements dans les deux pays. Ensemble, le </w:t>
      </w:r>
      <w:r>
        <w:rPr>
          <w:b/>
        </w:rPr>
        <w:t xml:space="preserve">Royaume-Uni, la France et les Pays-Bas </w:t>
      </w:r>
      <w:r>
        <w:t xml:space="preserve">représentent </w:t>
      </w:r>
      <w:r w:rsidRPr="003F421B">
        <w:t>49</w:t>
      </w:r>
      <w:r>
        <w:t xml:space="preserve">% du total des fonds levés par </w:t>
      </w:r>
      <w:r w:rsidR="007745A2">
        <w:t>les SNF</w:t>
      </w:r>
      <w:r>
        <w:t xml:space="preserve"> sur les marchés en </w:t>
      </w:r>
      <w:r w:rsidRPr="003F421B">
        <w:t>2018</w:t>
      </w:r>
      <w:r>
        <w:t xml:space="preserve">. Seuls trois pays, la </w:t>
      </w:r>
      <w:r>
        <w:rPr>
          <w:b/>
        </w:rPr>
        <w:t>Croatie, Chypre et la Slovénie</w:t>
      </w:r>
      <w:r>
        <w:t xml:space="preserve">, n’ont pas recouru au marché pour financier leurs </w:t>
      </w:r>
      <w:r w:rsidR="007745A2">
        <w:t>SNF</w:t>
      </w:r>
      <w:r>
        <w:t xml:space="preserve"> en </w:t>
      </w:r>
      <w:r w:rsidRPr="003F421B">
        <w:t>2018</w:t>
      </w:r>
      <w:r>
        <w:t>.</w:t>
      </w:r>
    </w:p>
    <w:p w14:paraId="56E6BD09" w14:textId="77777777" w:rsidR="00B22FEB" w:rsidRPr="0093479D" w:rsidRDefault="00B22FEB" w:rsidP="00A4518F">
      <w:pPr>
        <w:pStyle w:val="ListParagraph"/>
        <w:spacing w:line="240" w:lineRule="auto"/>
        <w:ind w:left="502"/>
        <w:jc w:val="both"/>
        <w:rPr>
          <w:rFonts w:cs="Calibri"/>
          <w:lang w:eastAsia="en-US"/>
        </w:rPr>
      </w:pPr>
    </w:p>
    <w:p w14:paraId="020BBDE6" w14:textId="58E99130" w:rsidR="00C74427" w:rsidRPr="00613407" w:rsidRDefault="00C74427" w:rsidP="00A4518F">
      <w:pPr>
        <w:pStyle w:val="ListParagraph"/>
        <w:numPr>
          <w:ilvl w:val="0"/>
          <w:numId w:val="30"/>
        </w:numPr>
        <w:spacing w:line="240" w:lineRule="auto"/>
        <w:jc w:val="both"/>
        <w:rPr>
          <w:rFonts w:cs="Calibri"/>
        </w:rPr>
      </w:pPr>
      <w:r>
        <w:rPr>
          <w:b/>
          <w:bCs/>
        </w:rPr>
        <w:t>Les</w:t>
      </w:r>
      <w:r>
        <w:t xml:space="preserve"> </w:t>
      </w:r>
      <w:r>
        <w:rPr>
          <w:b/>
          <w:bCs/>
        </w:rPr>
        <w:t xml:space="preserve">Pays-Bas, le Royaume-Uni et le Danemark </w:t>
      </w:r>
      <w:r>
        <w:t xml:space="preserve">sont en tête des pays européens en ce qui concerne le montant de l’épargne des ménages investi dans des instruments de marché, en raison de la couverture accrue des retraites privées. À l’exception de </w:t>
      </w:r>
      <w:r>
        <w:rPr>
          <w:b/>
          <w:bCs/>
        </w:rPr>
        <w:t>Chypre et de la Grèce,</w:t>
      </w:r>
      <w:r>
        <w:t xml:space="preserve"> tous les pays ont augmenté le montant de leur épargne sous forme d’espèces et de dépôts en </w:t>
      </w:r>
      <w:r w:rsidRPr="003F421B">
        <w:t>2018</w:t>
      </w:r>
      <w:r>
        <w:t>.</w:t>
      </w:r>
    </w:p>
    <w:p w14:paraId="1780D695" w14:textId="77777777" w:rsidR="00C74427" w:rsidRPr="001B2A09" w:rsidRDefault="00C74427" w:rsidP="00A4518F">
      <w:pPr>
        <w:spacing w:line="240" w:lineRule="auto"/>
        <w:jc w:val="both"/>
        <w:rPr>
          <w:rFonts w:cs="Calibri"/>
          <w:lang w:eastAsia="en-US"/>
        </w:rPr>
      </w:pPr>
    </w:p>
    <w:p w14:paraId="44B4C42F" w14:textId="07E516FB" w:rsidR="00C74427" w:rsidRDefault="00C74427" w:rsidP="00A4518F">
      <w:pPr>
        <w:pStyle w:val="ListParagraph"/>
        <w:numPr>
          <w:ilvl w:val="0"/>
          <w:numId w:val="30"/>
        </w:numPr>
        <w:spacing w:line="240" w:lineRule="auto"/>
        <w:jc w:val="both"/>
        <w:rPr>
          <w:rFonts w:cs="Calibri"/>
        </w:rPr>
      </w:pPr>
      <w:r>
        <w:rPr>
          <w:b/>
          <w:bCs/>
        </w:rPr>
        <w:t>L’</w:t>
      </w:r>
      <w:r>
        <w:rPr>
          <w:b/>
        </w:rPr>
        <w:t xml:space="preserve">Irlande, l’Italie, le Portugal, Chypre et l’Espagne </w:t>
      </w:r>
      <w:r>
        <w:t xml:space="preserve">(pays où le ratio de créances irrécouvrables est élevé) figurent dans le top dix des pays européens selon l’indice de transfert de prêts en </w:t>
      </w:r>
      <w:r w:rsidRPr="003F421B">
        <w:t>2018</w:t>
      </w:r>
      <w:r>
        <w:t xml:space="preserve">, les banques continuant de se départir d’actifs en difficulté sur les marchés. </w:t>
      </w:r>
    </w:p>
    <w:p w14:paraId="65D71670" w14:textId="77777777" w:rsidR="00C74427" w:rsidRPr="00613407" w:rsidRDefault="00C74427" w:rsidP="00A4518F">
      <w:pPr>
        <w:pStyle w:val="ListParagraph"/>
        <w:spacing w:line="240" w:lineRule="auto"/>
        <w:jc w:val="both"/>
        <w:rPr>
          <w:rFonts w:cs="Calibri"/>
          <w:lang w:eastAsia="en-US"/>
        </w:rPr>
      </w:pPr>
    </w:p>
    <w:p w14:paraId="0784BEF4" w14:textId="418B095A" w:rsidR="00C74427" w:rsidRPr="00613407" w:rsidRDefault="00C74427" w:rsidP="00A4518F">
      <w:pPr>
        <w:pStyle w:val="ListParagraph"/>
        <w:numPr>
          <w:ilvl w:val="0"/>
          <w:numId w:val="30"/>
        </w:numPr>
        <w:spacing w:line="240" w:lineRule="auto"/>
        <w:jc w:val="both"/>
        <w:rPr>
          <w:rFonts w:cs="Calibri"/>
          <w:b/>
          <w:bCs/>
        </w:rPr>
      </w:pPr>
      <w:r>
        <w:rPr>
          <w:b/>
          <w:bCs/>
        </w:rPr>
        <w:t>Le</w:t>
      </w:r>
      <w:r>
        <w:t xml:space="preserve"> </w:t>
      </w:r>
      <w:r>
        <w:rPr>
          <w:b/>
          <w:bCs/>
        </w:rPr>
        <w:t xml:space="preserve">Royaume-Uni </w:t>
      </w:r>
      <w:r>
        <w:t xml:space="preserve">est largement en tête de l’UE en ce qui concerne sa capacité à faciliter l’innovation dans le secteur des </w:t>
      </w:r>
      <w:r w:rsidR="007E3317">
        <w:t>FinTech</w:t>
      </w:r>
      <w:r w:rsidR="008448BC">
        <w:t>s</w:t>
      </w:r>
      <w:r>
        <w:t xml:space="preserve"> en raison de l’environnement réglementaire et </w:t>
      </w:r>
      <w:r w:rsidR="009F67E6">
        <w:t>de sources de</w:t>
      </w:r>
      <w:r>
        <w:t xml:space="preserve"> financement important</w:t>
      </w:r>
      <w:r w:rsidR="009F67E6">
        <w:t>e</w:t>
      </w:r>
      <w:r>
        <w:t xml:space="preserve">s. </w:t>
      </w:r>
      <w:r>
        <w:rPr>
          <w:b/>
          <w:bCs/>
        </w:rPr>
        <w:t>La</w:t>
      </w:r>
      <w:r>
        <w:t xml:space="preserve"> </w:t>
      </w:r>
      <w:r>
        <w:rPr>
          <w:b/>
          <w:bCs/>
        </w:rPr>
        <w:t xml:space="preserve">Suède, le Luxembourg et la Lituanie </w:t>
      </w:r>
      <w:r>
        <w:t xml:space="preserve">suivent le Royaume-Uni parmi les pays européens dotés des écosystèmes les plus adaptés aux </w:t>
      </w:r>
      <w:r w:rsidR="009F67E6">
        <w:t>FinTech</w:t>
      </w:r>
      <w:r w:rsidR="008448BC">
        <w:t>s</w:t>
      </w:r>
      <w:r>
        <w:t>.</w:t>
      </w:r>
    </w:p>
    <w:p w14:paraId="0A9E3836" w14:textId="77777777" w:rsidR="00C74427" w:rsidRPr="004369D3" w:rsidRDefault="00C74427" w:rsidP="00A4518F">
      <w:pPr>
        <w:spacing w:line="240" w:lineRule="auto"/>
        <w:jc w:val="both"/>
        <w:rPr>
          <w:rFonts w:cs="Calibri"/>
          <w:lang w:eastAsia="en-US"/>
        </w:rPr>
      </w:pPr>
    </w:p>
    <w:p w14:paraId="72DF317A" w14:textId="0324D8BE" w:rsidR="00C74427" w:rsidRPr="00A4518F" w:rsidRDefault="00C74427" w:rsidP="00A4518F">
      <w:pPr>
        <w:pStyle w:val="ListParagraph"/>
        <w:numPr>
          <w:ilvl w:val="0"/>
          <w:numId w:val="30"/>
        </w:numPr>
        <w:spacing w:line="240" w:lineRule="auto"/>
        <w:jc w:val="both"/>
        <w:rPr>
          <w:rFonts w:cs="Calibri"/>
        </w:rPr>
      </w:pPr>
      <w:r>
        <w:rPr>
          <w:b/>
        </w:rPr>
        <w:t>La Belgique, les Pays-Bas et la Suède</w:t>
      </w:r>
      <w:r>
        <w:t xml:space="preserve"> sont les pays leaders de l’UE en matière de finance durable avec plus de </w:t>
      </w:r>
      <w:r w:rsidRPr="003F421B">
        <w:t>7</w:t>
      </w:r>
      <w:r>
        <w:t xml:space="preserve">% des obligations émises en </w:t>
      </w:r>
      <w:r w:rsidRPr="003F421B">
        <w:t>2018</w:t>
      </w:r>
      <w:r>
        <w:t xml:space="preserve"> classées dans la catégorie durable. </w:t>
      </w:r>
      <w:r w:rsidRPr="003F421B">
        <w:t>21</w:t>
      </w:r>
      <w:r>
        <w:t xml:space="preserve">% des obligations émises en </w:t>
      </w:r>
      <w:r>
        <w:rPr>
          <w:b/>
          <w:bCs/>
        </w:rPr>
        <w:t xml:space="preserve">Lituanie </w:t>
      </w:r>
      <w:r>
        <w:t xml:space="preserve">en </w:t>
      </w:r>
      <w:r w:rsidRPr="003F421B">
        <w:t>2018</w:t>
      </w:r>
      <w:r>
        <w:t xml:space="preserve"> étaient étiquetées comme durables, ce qui représente un peu plus du double du pourcentage de </w:t>
      </w:r>
      <w:r w:rsidRPr="003F421B">
        <w:t>2017</w:t>
      </w:r>
      <w:r>
        <w:t xml:space="preserve">. Il convient toutefois de préciser que seules trois obligations ont été émises en </w:t>
      </w:r>
      <w:r w:rsidRPr="003F421B">
        <w:t>2018</w:t>
      </w:r>
      <w:r>
        <w:t xml:space="preserve"> (contre une en </w:t>
      </w:r>
      <w:r w:rsidRPr="003F421B">
        <w:t>2017</w:t>
      </w:r>
      <w:r>
        <w:t>).</w:t>
      </w:r>
    </w:p>
    <w:p w14:paraId="777A088F" w14:textId="77777777" w:rsidR="00C74427" w:rsidRPr="0093479D" w:rsidRDefault="00C74427" w:rsidP="00A4518F">
      <w:pPr>
        <w:spacing w:line="240" w:lineRule="auto"/>
        <w:jc w:val="both"/>
        <w:rPr>
          <w:rFonts w:cs="Calibri"/>
          <w:lang w:eastAsia="en-US"/>
        </w:rPr>
      </w:pPr>
    </w:p>
    <w:p w14:paraId="1FA73DE1" w14:textId="2D1241CA" w:rsidR="00C74427" w:rsidRPr="00613407" w:rsidRDefault="00C74427" w:rsidP="00A4518F">
      <w:pPr>
        <w:pStyle w:val="ListParagraph"/>
        <w:numPr>
          <w:ilvl w:val="0"/>
          <w:numId w:val="30"/>
        </w:numPr>
        <w:spacing w:line="240" w:lineRule="auto"/>
        <w:jc w:val="both"/>
        <w:rPr>
          <w:rFonts w:cs="Calibri"/>
        </w:rPr>
      </w:pPr>
      <w:r>
        <w:rPr>
          <w:b/>
          <w:bCs/>
        </w:rPr>
        <w:t>L’Irlande</w:t>
      </w:r>
      <w:r>
        <w:t xml:space="preserve"> arrive en tête en matière de disponibilité du capital-risque pour les PME en  pourcentage du financement total des PME, avec une participation importante des fonds de capital-risque et des fonds de capital-investissement. </w:t>
      </w:r>
      <w:r>
        <w:rPr>
          <w:b/>
          <w:bCs/>
        </w:rPr>
        <w:t xml:space="preserve">L’Estonie </w:t>
      </w:r>
      <w:r>
        <w:t>se classe au deuxième rang des pays de l’UE en raison de l’important investissement d</w:t>
      </w:r>
      <w:r w:rsidR="006777CC">
        <w:t>es business angels</w:t>
      </w:r>
      <w:r>
        <w:t xml:space="preserve"> en pourcentage du capital-risque et des prêts bancaires.</w:t>
      </w:r>
    </w:p>
    <w:p w14:paraId="6DFD91D0" w14:textId="77777777" w:rsidR="00C74427" w:rsidRPr="0093479D" w:rsidRDefault="00C74427" w:rsidP="00A4518F">
      <w:pPr>
        <w:spacing w:line="240" w:lineRule="auto"/>
        <w:jc w:val="both"/>
        <w:rPr>
          <w:rFonts w:cs="Calibri"/>
          <w:highlight w:val="yellow"/>
          <w:lang w:eastAsia="en-US"/>
        </w:rPr>
      </w:pPr>
    </w:p>
    <w:p w14:paraId="33CFD7CB" w14:textId="3072BDDF" w:rsidR="00C74427" w:rsidRPr="0019788F" w:rsidRDefault="00C74427" w:rsidP="00A4518F">
      <w:pPr>
        <w:pStyle w:val="ListParagraph"/>
        <w:numPr>
          <w:ilvl w:val="0"/>
          <w:numId w:val="30"/>
        </w:numPr>
        <w:spacing w:line="240" w:lineRule="auto"/>
        <w:jc w:val="both"/>
        <w:rPr>
          <w:rFonts w:cs="Calibri"/>
        </w:rPr>
      </w:pPr>
      <w:r>
        <w:rPr>
          <w:b/>
          <w:bCs/>
        </w:rPr>
        <w:t>Le Luxembourg, le Royaume-Uni et l’Estonie</w:t>
      </w:r>
      <w:r>
        <w:t xml:space="preserve"> se classent premiers au rang des marchés de capitaux les plus interconnectés avec le reste de l’UE. La première place du Luxembourg tient à ses émissions de fonds et d’obligations détenues au sein de l’UE.</w:t>
      </w:r>
    </w:p>
    <w:p w14:paraId="47964AB5" w14:textId="77777777" w:rsidR="00C74427" w:rsidRPr="0093479D" w:rsidRDefault="00C74427" w:rsidP="00A4518F">
      <w:pPr>
        <w:spacing w:line="240" w:lineRule="auto"/>
        <w:jc w:val="both"/>
        <w:rPr>
          <w:rFonts w:cs="Calibri"/>
          <w:lang w:eastAsia="en-US"/>
        </w:rPr>
      </w:pPr>
    </w:p>
    <w:p w14:paraId="6BBCD1ED" w14:textId="386C4292" w:rsidR="00C74427" w:rsidRPr="0019788F" w:rsidRDefault="00C74427" w:rsidP="00A4518F">
      <w:pPr>
        <w:pStyle w:val="ListParagraph"/>
        <w:numPr>
          <w:ilvl w:val="0"/>
          <w:numId w:val="30"/>
        </w:numPr>
        <w:spacing w:line="240" w:lineRule="auto"/>
        <w:jc w:val="both"/>
        <w:rPr>
          <w:rFonts w:cs="Calibri"/>
        </w:rPr>
      </w:pPr>
      <w:r>
        <w:rPr>
          <w:b/>
          <w:bCs/>
        </w:rPr>
        <w:t>Le Royaume-Uni, le Luxembourg et Chypre</w:t>
      </w:r>
      <w:r>
        <w:t xml:space="preserve"> ont les marchés de capitaux européens les plus interconnectés avec le reste du monde. </w:t>
      </w:r>
      <w:r>
        <w:rPr>
          <w:b/>
          <w:bCs/>
        </w:rPr>
        <w:t>Le Royaume-Uni</w:t>
      </w:r>
      <w:r>
        <w:t xml:space="preserve"> a joué un rôle de premier plan dans l’intermédiation de transactions mondiales sur </w:t>
      </w:r>
      <w:r w:rsidR="006777CC">
        <w:t xml:space="preserve">les </w:t>
      </w:r>
      <w:r>
        <w:t xml:space="preserve">dérivés de taux de change et de taux d’intérêt. À </w:t>
      </w:r>
      <w:r>
        <w:rPr>
          <w:b/>
          <w:bCs/>
        </w:rPr>
        <w:t>Chypre</w:t>
      </w:r>
      <w:r>
        <w:t>, la connectivité mondiale repose sur la grande part des actions et des fonds chypriotes détenus en dehors de l’UE.</w:t>
      </w:r>
    </w:p>
    <w:p w14:paraId="45CE5893" w14:textId="77777777" w:rsidR="00C74427" w:rsidRPr="0019788F" w:rsidRDefault="00C74427" w:rsidP="00A4518F">
      <w:pPr>
        <w:pStyle w:val="ListParagraph"/>
        <w:spacing w:line="240" w:lineRule="auto"/>
        <w:jc w:val="both"/>
        <w:rPr>
          <w:rFonts w:cs="Calibri"/>
          <w:highlight w:val="yellow"/>
          <w:lang w:eastAsia="en-US"/>
        </w:rPr>
      </w:pPr>
    </w:p>
    <w:p w14:paraId="1828D366" w14:textId="77777777" w:rsidR="00C74427" w:rsidRPr="007B1DB3" w:rsidRDefault="00C74427" w:rsidP="00A4518F">
      <w:pPr>
        <w:pStyle w:val="ListParagraph"/>
        <w:numPr>
          <w:ilvl w:val="0"/>
          <w:numId w:val="30"/>
        </w:numPr>
        <w:spacing w:line="240" w:lineRule="auto"/>
        <w:jc w:val="both"/>
        <w:rPr>
          <w:rFonts w:cs="Calibri"/>
        </w:rPr>
      </w:pPr>
      <w:r w:rsidRPr="006777CC">
        <w:rPr>
          <w:b/>
          <w:bCs/>
        </w:rPr>
        <w:t>L’</w:t>
      </w:r>
      <w:r>
        <w:rPr>
          <w:b/>
          <w:bCs/>
        </w:rPr>
        <w:t>Estonie et la République Tchèque sont les marchés les plus vastes de la région d’Europe centrale et orientale.</w:t>
      </w:r>
      <w:r>
        <w:t xml:space="preserve"> En </w:t>
      </w:r>
      <w:r w:rsidRPr="003F421B">
        <w:t>2018</w:t>
      </w:r>
      <w:r>
        <w:t>, l’</w:t>
      </w:r>
      <w:r>
        <w:rPr>
          <w:b/>
          <w:bCs/>
        </w:rPr>
        <w:t>Estonie</w:t>
      </w:r>
      <w:r>
        <w:t xml:space="preserve"> a émis </w:t>
      </w:r>
      <w:r w:rsidRPr="003F421B">
        <w:t>10</w:t>
      </w:r>
      <w:r>
        <w:t xml:space="preserve">% d’obligations à haut rendement et </w:t>
      </w:r>
      <w:r w:rsidRPr="003F421B">
        <w:t>6</w:t>
      </w:r>
      <w:r>
        <w:t xml:space="preserve">% d’obligations « investment grade » au sein de l’Europe centrale et orientale, ce qui représente </w:t>
      </w:r>
      <w:r w:rsidRPr="003F421B">
        <w:t>2</w:t>
      </w:r>
      <w:r>
        <w:t>% du PIB des régions.</w:t>
      </w:r>
    </w:p>
    <w:p w14:paraId="15EB3FAD" w14:textId="4462E793" w:rsidR="001B2A09" w:rsidRDefault="001B2A09" w:rsidP="00A4518F">
      <w:pPr>
        <w:spacing w:line="240" w:lineRule="auto"/>
        <w:jc w:val="both"/>
        <w:rPr>
          <w:rFonts w:cs="Calibri"/>
          <w:lang w:eastAsia="en-US"/>
        </w:rPr>
      </w:pPr>
    </w:p>
    <w:p w14:paraId="19C29562" w14:textId="77777777" w:rsidR="00BE2283" w:rsidRPr="00EC7BB9" w:rsidRDefault="00BE2283" w:rsidP="00BE2283">
      <w:pPr>
        <w:pStyle w:val="BodyText"/>
      </w:pPr>
      <w:r>
        <w:t>Le rapport a été rédigé par l’AFME avec le soutien de la Climate Bonds Initiative (CBI), ainsi que par des associations professionnelles européennes représentant les investisseurs providentiels (BAE, EBAN), les sociétés de gestion (ACC, EFAMA), le financement participatif (ECN), les investisseurs de détail et institutionnels (European Investors), les bourses de valeurs mobilières (FESE), les sociétés de capital-risque et de capital-investissement (Invest Europe), et les fonds de pension (Pensions Europe).</w:t>
      </w:r>
    </w:p>
    <w:p w14:paraId="2602C627" w14:textId="7C9D5A73" w:rsidR="009F4DC0" w:rsidRDefault="009F4DC0" w:rsidP="00A4518F">
      <w:pPr>
        <w:spacing w:line="240" w:lineRule="auto"/>
        <w:jc w:val="both"/>
        <w:rPr>
          <w:rFonts w:cs="Calibri"/>
        </w:rPr>
      </w:pPr>
      <w:r>
        <w:lastRenderedPageBreak/>
        <w:t xml:space="preserve">Le rapport complet peut être téléchargé sur le </w:t>
      </w:r>
      <w:r>
        <w:rPr>
          <w:b/>
          <w:bCs/>
        </w:rPr>
        <w:t>site Internet de l’AFME.</w:t>
      </w:r>
      <w:r>
        <w:rPr>
          <w:u w:val="single"/>
        </w:rPr>
        <w:t xml:space="preserve"> </w:t>
      </w:r>
    </w:p>
    <w:p w14:paraId="432BAF12" w14:textId="7DE80CA4" w:rsidR="001B2A09" w:rsidRDefault="001B2A09" w:rsidP="0043709E">
      <w:pPr>
        <w:spacing w:line="240" w:lineRule="auto"/>
        <w:jc w:val="both"/>
        <w:rPr>
          <w:rFonts w:cs="Calibri"/>
          <w:lang w:eastAsia="en-US"/>
        </w:rPr>
      </w:pPr>
    </w:p>
    <w:p w14:paraId="0AEE8F46" w14:textId="6ACD679C" w:rsidR="00880C60" w:rsidRDefault="0092210B" w:rsidP="00ED3104">
      <w:pPr>
        <w:pStyle w:val="BodyText"/>
        <w:spacing w:after="0" w:line="240" w:lineRule="auto"/>
        <w:jc w:val="center"/>
      </w:pPr>
      <w:r>
        <w:t>– Fin du communiqué –</w:t>
      </w:r>
    </w:p>
    <w:bookmarkEnd w:id="1"/>
    <w:p w14:paraId="625B1F1C" w14:textId="77777777" w:rsidR="007F0D0A" w:rsidRPr="004F22A2" w:rsidRDefault="007F0D0A" w:rsidP="00155810">
      <w:pPr>
        <w:pStyle w:val="BodyText"/>
        <w:spacing w:after="0" w:line="240" w:lineRule="auto"/>
      </w:pPr>
    </w:p>
    <w:p w14:paraId="49163308" w14:textId="77777777" w:rsidR="00EA75C4" w:rsidRPr="004F22A2" w:rsidRDefault="00EA75C4" w:rsidP="0040580A">
      <w:pPr>
        <w:pStyle w:val="NormalBold"/>
        <w:outlineLvl w:val="0"/>
      </w:pPr>
      <w:r>
        <w:t>Contact AFME</w:t>
      </w:r>
    </w:p>
    <w:p w14:paraId="73B0953E" w14:textId="02B2EE08" w:rsidR="00842CFD" w:rsidRPr="004F22A2" w:rsidRDefault="00842CFD" w:rsidP="00842CFD">
      <w:pPr>
        <w:pStyle w:val="BodyText"/>
        <w:jc w:val="left"/>
      </w:pPr>
      <w:r>
        <w:t>Rebecca Hansford</w:t>
      </w:r>
      <w:r>
        <w:br/>
        <w:t>Directrice des relations avec les médias</w:t>
      </w:r>
      <w:r>
        <w:br/>
      </w:r>
      <w:hyperlink r:id="rId8" w:history="1">
        <w:r>
          <w:rPr>
            <w:rStyle w:val="Hyperlink"/>
            <w:u w:val="single"/>
          </w:rPr>
          <w:t>rebecca.hansford@afme.eu</w:t>
        </w:r>
      </w:hyperlink>
      <w:r>
        <w:t xml:space="preserve"> </w:t>
      </w:r>
      <w:r>
        <w:br/>
        <w:t>+</w:t>
      </w:r>
      <w:r w:rsidRPr="003F421B">
        <w:t>44</w:t>
      </w:r>
      <w:r>
        <w:t xml:space="preserve"> (</w:t>
      </w:r>
      <w:r w:rsidRPr="003F421B">
        <w:t>0</w:t>
      </w:r>
      <w:r>
        <w:t>)</w:t>
      </w:r>
      <w:r w:rsidRPr="003F421B">
        <w:t>20</w:t>
      </w:r>
      <w:r>
        <w:t xml:space="preserve"> </w:t>
      </w:r>
      <w:r w:rsidRPr="003F421B">
        <w:t>3828</w:t>
      </w:r>
      <w:r>
        <w:t xml:space="preserve"> </w:t>
      </w:r>
      <w:r w:rsidRPr="003F421B">
        <w:t>2693</w:t>
      </w:r>
      <w:r>
        <w:br/>
        <w:t>+</w:t>
      </w:r>
      <w:r w:rsidRPr="003F421B">
        <w:t>44</w:t>
      </w:r>
      <w:r>
        <w:t xml:space="preserve"> (</w:t>
      </w:r>
      <w:r w:rsidRPr="003F421B">
        <w:t>0</w:t>
      </w:r>
      <w:r>
        <w:t>)</w:t>
      </w:r>
      <w:r w:rsidRPr="003F421B">
        <w:t>7825</w:t>
      </w:r>
      <w:r>
        <w:t xml:space="preserve"> </w:t>
      </w:r>
      <w:r w:rsidRPr="003F421B">
        <w:t>081</w:t>
      </w:r>
      <w:r>
        <w:t xml:space="preserve"> </w:t>
      </w:r>
      <w:r w:rsidRPr="003F421B">
        <w:t>686</w:t>
      </w:r>
      <w:r>
        <w:t xml:space="preserve"> </w:t>
      </w:r>
    </w:p>
    <w:p w14:paraId="398A4559" w14:textId="77777777" w:rsidR="00A2629D" w:rsidRDefault="00A2629D" w:rsidP="00E43A3C">
      <w:pPr>
        <w:rPr>
          <w:b/>
        </w:rPr>
      </w:pPr>
    </w:p>
    <w:p w14:paraId="08934BD1" w14:textId="77777777" w:rsidR="004664D6" w:rsidRPr="004F22A2" w:rsidRDefault="004664D6" w:rsidP="0040580A">
      <w:pPr>
        <w:outlineLvl w:val="0"/>
        <w:rPr>
          <w:b/>
        </w:rPr>
      </w:pPr>
      <w:r>
        <w:rPr>
          <w:b/>
        </w:rPr>
        <w:t>À propos de l’AFME :</w:t>
      </w:r>
    </w:p>
    <w:p w14:paraId="15D0344B" w14:textId="7180D537" w:rsidR="003B3C39" w:rsidRPr="004F22A2" w:rsidRDefault="003B3C39" w:rsidP="003B3C39">
      <w:pPr>
        <w:spacing w:line="240" w:lineRule="auto"/>
      </w:pPr>
      <w:r>
        <w:t xml:space="preserve">L’AFME (Association for Financial Markets in Europe, Association pour les marchés financiers en Europe) milite pour la consolidation et l’intégration des marchés de capitaux européens pour répondre aux besoins des entreprises et des investisseurs, favorisant ainsi la croissance économique et profitant à la société. L’AFME est le porte-parole de tous les marchés financiers de gros européens. Elle offre une expertise sur un large éventail de questions relatives aux marchés de capitaux et aux problématiques réglementaires. L’AFME entend faire le lien entre les acteurs du marché et les décideurs politiques dans toute l’Europe en s’appuyant sur ses relations solides et de longue date, ses connaissances techniques et ses travaux empiriques. Parmi ses membres figurent des banques internationales et opérant dans toute l’UE ainsi que des banques régionales, des courtiers, des cabinets juridiques, des investisseurs et d'autres acteurs des marchés financiers. L’AFME participe à une alliance mondiale avec la Securities Industry and Financial Markets Association (SIFMA) aux États-Unis et l’Asia Securities Industry and Financial Markets Association (ASIFMA) à travers la GFMA (Global Financial Markets Association). Pour des informations complémentaires, nous vous invitons à consulter le site </w:t>
      </w:r>
      <w:r w:rsidR="003F421B">
        <w:t>Internet</w:t>
      </w:r>
      <w:r>
        <w:t xml:space="preserve"> de l’AFME : </w:t>
      </w:r>
      <w:hyperlink r:id="rId9" w:history="1">
        <w:r>
          <w:rPr>
            <w:rStyle w:val="Hyperlink"/>
          </w:rPr>
          <w:t>www.afme.eu</w:t>
        </w:r>
      </w:hyperlink>
      <w:r>
        <w:t>.</w:t>
      </w:r>
    </w:p>
    <w:p w14:paraId="6F72F0E4" w14:textId="77777777" w:rsidR="002F02C6" w:rsidRDefault="003B3C39">
      <w:pPr>
        <w:spacing w:line="240" w:lineRule="auto"/>
      </w:pPr>
      <w:r>
        <w:t xml:space="preserve">Suivez-nous sur Twitter @AFME_EU </w:t>
      </w:r>
    </w:p>
    <w:sectPr w:rsidR="002F02C6" w:rsidSect="004B0D81">
      <w:headerReference w:type="even" r:id="rId10"/>
      <w:headerReference w:type="default" r:id="rId11"/>
      <w:footerReference w:type="even" r:id="rId12"/>
      <w:footerReference w:type="default" r:id="rId13"/>
      <w:headerReference w:type="first" r:id="rId14"/>
      <w:footerReference w:type="first" r:id="rId15"/>
      <w:pgSz w:w="11906" w:h="16838" w:code="9"/>
      <w:pgMar w:top="2268" w:right="851" w:bottom="1985" w:left="85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F42B9" w14:textId="77777777" w:rsidR="003A46F6" w:rsidRDefault="003A46F6" w:rsidP="00C42475">
      <w:pPr>
        <w:spacing w:line="240" w:lineRule="auto"/>
      </w:pPr>
      <w:r>
        <w:separator/>
      </w:r>
    </w:p>
  </w:endnote>
  <w:endnote w:type="continuationSeparator" w:id="0">
    <w:p w14:paraId="4ED4C44B" w14:textId="77777777" w:rsidR="003A46F6" w:rsidRDefault="003A46F6" w:rsidP="00C424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DC7D3" w14:textId="77777777" w:rsidR="003F421B" w:rsidRDefault="003F42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4B79B" w14:textId="4D790205" w:rsidR="000D0FB2" w:rsidRPr="00E437B9" w:rsidRDefault="000D0FB2" w:rsidP="00E437B9">
    <w:pPr>
      <w:pStyle w:val="AFMEPagenumber"/>
      <w:rPr>
        <w:noProof/>
      </w:rPr>
    </w:pPr>
    <w:r>
      <w:rPr>
        <w:noProof/>
      </w:rPr>
      <w:drawing>
        <wp:anchor distT="0" distB="0" distL="114300" distR="114300" simplePos="0" relativeHeight="251657216" behindDoc="0" locked="0" layoutInCell="1" allowOverlap="1" wp14:anchorId="02495531" wp14:editId="5255F9EA">
          <wp:simplePos x="0" y="0"/>
          <wp:positionH relativeFrom="page">
            <wp:posOffset>6732905</wp:posOffset>
          </wp:positionH>
          <wp:positionV relativeFrom="page">
            <wp:posOffset>10009505</wp:posOffset>
          </wp:positionV>
          <wp:extent cx="101520" cy="143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ME_rgb_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520" cy="143640"/>
                  </a:xfrm>
                  <a:prstGeom prst="rect">
                    <a:avLst/>
                  </a:prstGeom>
                </pic:spPr>
              </pic:pic>
            </a:graphicData>
          </a:graphic>
        </wp:anchor>
      </w:drawing>
    </w:r>
    <w:r w:rsidR="00CC27C7">
      <w:fldChar w:fldCharType="begin"/>
    </w:r>
    <w:r w:rsidR="00CC27C7">
      <w:instrText xml:space="preserve"> PAGE   \* MERGEFORMAT </w:instrText>
    </w:r>
    <w:r w:rsidR="00CC27C7">
      <w:fldChar w:fldCharType="separate"/>
    </w:r>
    <w:r w:rsidR="000A317C">
      <w:t>2</w:t>
    </w:r>
    <w:r w:rsidR="00CC27C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EB4CF" w14:textId="77777777" w:rsidR="003F421B" w:rsidRDefault="003F42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8BB9" w14:textId="77777777" w:rsidR="003A46F6" w:rsidRPr="00FB1672" w:rsidRDefault="003A46F6" w:rsidP="00C42475">
      <w:pPr>
        <w:spacing w:line="240" w:lineRule="auto"/>
        <w:rPr>
          <w:color w:val="78A22F" w:themeColor="accent1"/>
        </w:rPr>
      </w:pPr>
      <w:r w:rsidRPr="00FB1672">
        <w:rPr>
          <w:color w:val="78A22F" w:themeColor="accent1"/>
        </w:rPr>
        <w:separator/>
      </w:r>
    </w:p>
  </w:footnote>
  <w:footnote w:type="continuationSeparator" w:id="0">
    <w:p w14:paraId="0089B2D8" w14:textId="77777777" w:rsidR="003A46F6" w:rsidRDefault="003A46F6" w:rsidP="00C424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3D758" w14:textId="77777777" w:rsidR="003F421B" w:rsidRDefault="003F42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ECAE0" w14:textId="77777777" w:rsidR="003F421B" w:rsidRDefault="003F42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BEA56" w14:textId="36F52DC5" w:rsidR="006C63D0" w:rsidRDefault="00887AC7" w:rsidP="00887AC7">
    <w:pPr>
      <w:pStyle w:val="AFMEFullName"/>
      <w:jc w:val="left"/>
    </w:pPr>
    <w:r>
      <w:drawing>
        <wp:anchor distT="0" distB="0" distL="114300" distR="114300" simplePos="0" relativeHeight="251668480" behindDoc="0" locked="0" layoutInCell="1" allowOverlap="1" wp14:anchorId="33EDB3C7" wp14:editId="276BC3D5">
          <wp:simplePos x="0" y="0"/>
          <wp:positionH relativeFrom="column">
            <wp:posOffset>1330443</wp:posOffset>
          </wp:positionH>
          <wp:positionV relativeFrom="paragraph">
            <wp:posOffset>-274187</wp:posOffset>
          </wp:positionV>
          <wp:extent cx="455428" cy="455428"/>
          <wp:effectExtent l="0" t="0" r="190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428" cy="455428"/>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9264" behindDoc="0" locked="0" layoutInCell="1" allowOverlap="1" wp14:anchorId="6FCE1C83" wp14:editId="7BC40530">
          <wp:simplePos x="0" y="0"/>
          <wp:positionH relativeFrom="column">
            <wp:posOffset>2203863</wp:posOffset>
          </wp:positionH>
          <wp:positionV relativeFrom="paragraph">
            <wp:posOffset>-171376</wp:posOffset>
          </wp:positionV>
          <wp:extent cx="1247775" cy="3238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6513" t="30087" r="5581" b="26550"/>
                  <a:stretch/>
                </pic:blipFill>
                <pic:spPr bwMode="auto">
                  <a:xfrm>
                    <a:off x="0" y="0"/>
                    <a:ext cx="1247775"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0288" behindDoc="0" locked="0" layoutInCell="1" allowOverlap="1" wp14:anchorId="1A697B7E" wp14:editId="60BB4DD9">
          <wp:simplePos x="0" y="0"/>
          <wp:positionH relativeFrom="column">
            <wp:posOffset>3658515</wp:posOffset>
          </wp:positionH>
          <wp:positionV relativeFrom="paragraph">
            <wp:posOffset>-188684</wp:posOffset>
          </wp:positionV>
          <wp:extent cx="1162050" cy="3378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62050" cy="33782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312" behindDoc="0" locked="0" layoutInCell="1" allowOverlap="1" wp14:anchorId="4B61FAC5" wp14:editId="6D67FE5B">
          <wp:simplePos x="0" y="0"/>
          <wp:positionH relativeFrom="margin">
            <wp:posOffset>5115264</wp:posOffset>
          </wp:positionH>
          <wp:positionV relativeFrom="paragraph">
            <wp:posOffset>-350402</wp:posOffset>
          </wp:positionV>
          <wp:extent cx="1143635" cy="4978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635" cy="49784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3360" behindDoc="1" locked="0" layoutInCell="1" allowOverlap="1" wp14:anchorId="46E0B168" wp14:editId="1CEC47CB">
          <wp:simplePos x="0" y="0"/>
          <wp:positionH relativeFrom="column">
            <wp:posOffset>3140533</wp:posOffset>
          </wp:positionH>
          <wp:positionV relativeFrom="paragraph">
            <wp:posOffset>396875</wp:posOffset>
          </wp:positionV>
          <wp:extent cx="1104900" cy="277495"/>
          <wp:effectExtent l="0" t="0" r="0" b="8255"/>
          <wp:wrapTight wrapText="bothSides">
            <wp:wrapPolygon edited="0">
              <wp:start x="0" y="0"/>
              <wp:lineTo x="0" y="20760"/>
              <wp:lineTo x="21228" y="20760"/>
              <wp:lineTo x="212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a:extLst>
                      <a:ext uri="{28A0092B-C50C-407E-A947-70E740481C1C}">
                        <a14:useLocalDpi xmlns:a14="http://schemas.microsoft.com/office/drawing/2010/main" val="0"/>
                      </a:ext>
                    </a:extLst>
                  </a:blip>
                  <a:srcRect l="15349" t="35398" r="14419" b="30974"/>
                  <a:stretch/>
                </pic:blipFill>
                <pic:spPr bwMode="auto">
                  <a:xfrm>
                    <a:off x="0" y="0"/>
                    <a:ext cx="1104900" cy="27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7456" behindDoc="0" locked="0" layoutInCell="1" allowOverlap="1" wp14:anchorId="0012B480" wp14:editId="71F2ECC8">
          <wp:simplePos x="0" y="0"/>
          <wp:positionH relativeFrom="column">
            <wp:posOffset>2026920</wp:posOffset>
          </wp:positionH>
          <wp:positionV relativeFrom="paragraph">
            <wp:posOffset>280655</wp:posOffset>
          </wp:positionV>
          <wp:extent cx="949960" cy="393065"/>
          <wp:effectExtent l="0" t="0" r="2540" b="6985"/>
          <wp:wrapThrough wrapText="bothSides">
            <wp:wrapPolygon edited="0">
              <wp:start x="0" y="0"/>
              <wp:lineTo x="0" y="20937"/>
              <wp:lineTo x="21225" y="20937"/>
              <wp:lineTo x="2122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9960" cy="39306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336" behindDoc="1" locked="0" layoutInCell="1" allowOverlap="1" wp14:anchorId="0274DE38" wp14:editId="4F4F24D3">
          <wp:simplePos x="0" y="0"/>
          <wp:positionH relativeFrom="column">
            <wp:posOffset>837447</wp:posOffset>
          </wp:positionH>
          <wp:positionV relativeFrom="paragraph">
            <wp:posOffset>329255</wp:posOffset>
          </wp:positionV>
          <wp:extent cx="1129030" cy="448945"/>
          <wp:effectExtent l="0" t="0" r="0" b="8255"/>
          <wp:wrapTight wrapText="bothSides">
            <wp:wrapPolygon edited="0">
              <wp:start x="0" y="0"/>
              <wp:lineTo x="0" y="21081"/>
              <wp:lineTo x="21138" y="21081"/>
              <wp:lineTo x="211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8372" t="18584" r="7441" b="17699"/>
                  <a:stretch/>
                </pic:blipFill>
                <pic:spPr bwMode="auto">
                  <a:xfrm>
                    <a:off x="0" y="0"/>
                    <a:ext cx="1129030" cy="448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5408" behindDoc="0" locked="0" layoutInCell="1" allowOverlap="1" wp14:anchorId="50088650" wp14:editId="36A07AB0">
          <wp:simplePos x="0" y="0"/>
          <wp:positionH relativeFrom="margin">
            <wp:posOffset>-135757</wp:posOffset>
          </wp:positionH>
          <wp:positionV relativeFrom="paragraph">
            <wp:posOffset>329388</wp:posOffset>
          </wp:positionV>
          <wp:extent cx="786810" cy="416173"/>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810" cy="416173"/>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6432" behindDoc="0" locked="0" layoutInCell="1" allowOverlap="1" wp14:anchorId="6F99F085" wp14:editId="6500F348">
          <wp:simplePos x="0" y="0"/>
          <wp:positionH relativeFrom="column">
            <wp:posOffset>5674995</wp:posOffset>
          </wp:positionH>
          <wp:positionV relativeFrom="paragraph">
            <wp:posOffset>280670</wp:posOffset>
          </wp:positionV>
          <wp:extent cx="885825" cy="507365"/>
          <wp:effectExtent l="38100" t="38100" r="28575" b="45085"/>
          <wp:wrapThrough wrapText="bothSides">
            <wp:wrapPolygon edited="0">
              <wp:start x="-1014" y="46"/>
              <wp:lineTo x="-479" y="21127"/>
              <wp:lineTo x="18192" y="21679"/>
              <wp:lineTo x="22358" y="21076"/>
              <wp:lineTo x="21283" y="-1555"/>
              <wp:lineTo x="18892" y="-2836"/>
              <wp:lineTo x="4078" y="-692"/>
              <wp:lineTo x="-1014" y="46"/>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0736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4384" behindDoc="1" locked="0" layoutInCell="1" allowOverlap="1" wp14:anchorId="1DF10489" wp14:editId="43563E70">
          <wp:simplePos x="0" y="0"/>
          <wp:positionH relativeFrom="margin">
            <wp:posOffset>4454525</wp:posOffset>
          </wp:positionH>
          <wp:positionV relativeFrom="paragraph">
            <wp:posOffset>295319</wp:posOffset>
          </wp:positionV>
          <wp:extent cx="1108075" cy="447675"/>
          <wp:effectExtent l="0" t="0" r="0" b="9525"/>
          <wp:wrapTight wrapText="bothSides">
            <wp:wrapPolygon edited="0">
              <wp:start x="0" y="0"/>
              <wp:lineTo x="0" y="21140"/>
              <wp:lineTo x="21167" y="21140"/>
              <wp:lineTo x="2116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80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240" behindDoc="0" locked="0" layoutInCell="1" allowOverlap="1" wp14:anchorId="476159EE" wp14:editId="7F12503E">
          <wp:simplePos x="0" y="0"/>
          <wp:positionH relativeFrom="page">
            <wp:posOffset>400050</wp:posOffset>
          </wp:positionH>
          <wp:positionV relativeFrom="page">
            <wp:posOffset>262934</wp:posOffset>
          </wp:positionV>
          <wp:extent cx="973181" cy="381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ME_rgb_high_CW cropp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3181" cy="381000"/>
                  </a:xfrm>
                  <a:prstGeom prst="rect">
                    <a:avLst/>
                  </a:prstGeom>
                </pic:spPr>
              </pic:pic>
            </a:graphicData>
          </a:graphic>
          <wp14:sizeRelH relativeFrom="margin">
            <wp14:pctWidth>0</wp14:pctWidth>
          </wp14:sizeRelH>
          <wp14:sizeRelV relativeFrom="margin">
            <wp14:pctHeight>0</wp14:pctHeight>
          </wp14:sizeRelV>
        </wp:anchor>
      </w:drawing>
    </w:r>
  </w:p>
  <w:p w14:paraId="3F58DC56" w14:textId="551BB2BD" w:rsidR="000D0FB2" w:rsidRDefault="000D0FB2" w:rsidP="008308CD">
    <w:pPr>
      <w:pStyle w:val="AFMEFullNam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51EB"/>
    <w:multiLevelType w:val="hybridMultilevel"/>
    <w:tmpl w:val="B328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E0B23"/>
    <w:multiLevelType w:val="multilevel"/>
    <w:tmpl w:val="6DB425B6"/>
    <w:numStyleLink w:val="AFMENumbering"/>
  </w:abstractNum>
  <w:abstractNum w:abstractNumId="2" w15:restartNumberingAfterBreak="0">
    <w:nsid w:val="0B597AFC"/>
    <w:multiLevelType w:val="hybridMultilevel"/>
    <w:tmpl w:val="B81471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F167B"/>
    <w:multiLevelType w:val="hybridMultilevel"/>
    <w:tmpl w:val="EBFE1092"/>
    <w:lvl w:ilvl="0" w:tplc="31CA9F40">
      <w:numFmt w:val="bullet"/>
      <w:lvlText w:val="•"/>
      <w:lvlJc w:val="left"/>
      <w:pPr>
        <w:ind w:left="1080" w:hanging="72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B68A7"/>
    <w:multiLevelType w:val="hybridMultilevel"/>
    <w:tmpl w:val="589CE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210B9"/>
    <w:multiLevelType w:val="multilevel"/>
    <w:tmpl w:val="023E8784"/>
    <w:styleLink w:val="AFMEBullets"/>
    <w:lvl w:ilvl="0">
      <w:start w:val="1"/>
      <w:numFmt w:val="bullet"/>
      <w:pStyle w:val="Bullets1"/>
      <w:lvlText w:val=""/>
      <w:lvlJc w:val="left"/>
      <w:pPr>
        <w:tabs>
          <w:tab w:val="num" w:pos="284"/>
        </w:tabs>
        <w:ind w:left="284" w:hanging="284"/>
      </w:pPr>
      <w:rPr>
        <w:rFonts w:ascii="Symbol" w:hAnsi="Symbol" w:hint="default"/>
        <w:color w:val="78A22F" w:themeColor="accent1"/>
      </w:rPr>
    </w:lvl>
    <w:lvl w:ilvl="1">
      <w:start w:val="1"/>
      <w:numFmt w:val="bullet"/>
      <w:pStyle w:val="Bullets2"/>
      <w:lvlText w:val=""/>
      <w:lvlJc w:val="left"/>
      <w:pPr>
        <w:tabs>
          <w:tab w:val="num" w:pos="567"/>
        </w:tabs>
        <w:ind w:left="567" w:hanging="283"/>
      </w:pPr>
      <w:rPr>
        <w:rFonts w:ascii="Symbol" w:hAnsi="Symbol" w:hint="default"/>
        <w:color w:val="58595B" w:themeColor="accent6"/>
      </w:rPr>
    </w:lvl>
    <w:lvl w:ilvl="2">
      <w:start w:val="1"/>
      <w:numFmt w:val="bullet"/>
      <w:pStyle w:val="Bullets3"/>
      <w:lvlText w:val=""/>
      <w:lvlJc w:val="left"/>
      <w:pPr>
        <w:tabs>
          <w:tab w:val="num" w:pos="851"/>
        </w:tabs>
        <w:ind w:left="851" w:hanging="284"/>
      </w:pPr>
      <w:rPr>
        <w:rFonts w:ascii="Symbol" w:hAnsi="Symbol" w:hint="default"/>
        <w:color w:val="C9DAAC" w:themeColor="accent2"/>
      </w:rPr>
    </w:lvl>
    <w:lvl w:ilvl="3">
      <w:start w:val="1"/>
      <w:numFmt w:val="bullet"/>
      <w:lvlText w:val=""/>
      <w:lvlJc w:val="left"/>
      <w:pPr>
        <w:tabs>
          <w:tab w:val="num" w:pos="1134"/>
        </w:tabs>
        <w:ind w:left="1134" w:hanging="283"/>
      </w:pPr>
      <w:rPr>
        <w:rFonts w:ascii="Symbol" w:hAnsi="Symbol" w:hint="default"/>
        <w:color w:val="CFD0D2" w:themeColor="accent3"/>
      </w:rPr>
    </w:lvl>
    <w:lvl w:ilvl="4">
      <w:start w:val="1"/>
      <w:numFmt w:val="bullet"/>
      <w:lvlText w:val=""/>
      <w:lvlJc w:val="left"/>
      <w:pPr>
        <w:tabs>
          <w:tab w:val="num" w:pos="1418"/>
        </w:tabs>
        <w:ind w:left="1418" w:hanging="284"/>
      </w:pPr>
      <w:rPr>
        <w:rFonts w:ascii="Symbol" w:hAnsi="Symbol" w:hint="default"/>
        <w:color w:val="808285" w:themeColor="accent5"/>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FC4F1E"/>
    <w:multiLevelType w:val="hybridMultilevel"/>
    <w:tmpl w:val="FD86AE64"/>
    <w:lvl w:ilvl="0" w:tplc="706090C0">
      <w:start w:val="25"/>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020CB"/>
    <w:multiLevelType w:val="hybridMultilevel"/>
    <w:tmpl w:val="649ACB5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6AE236A"/>
    <w:multiLevelType w:val="multilevel"/>
    <w:tmpl w:val="867830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FB14999"/>
    <w:multiLevelType w:val="multilevel"/>
    <w:tmpl w:val="5216811C"/>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0" w15:restartNumberingAfterBreak="0">
    <w:nsid w:val="318D227F"/>
    <w:multiLevelType w:val="multilevel"/>
    <w:tmpl w:val="6DB425B6"/>
    <w:styleLink w:val="AFMENumbering"/>
    <w:lvl w:ilvl="0">
      <w:start w:val="1"/>
      <w:numFmt w:val="none"/>
      <w:pStyle w:val="SectionHeading"/>
      <w:suff w:val="nothing"/>
      <w:lvlText w:val=""/>
      <w:lvlJc w:val="left"/>
      <w:pPr>
        <w:ind w:left="0" w:firstLine="0"/>
      </w:pPr>
      <w:rPr>
        <w:rFonts w:hint="default"/>
      </w:rPr>
    </w:lvl>
    <w:lvl w:ilvl="1">
      <w:start w:val="1"/>
      <w:numFmt w:val="decimal"/>
      <w:lvlRestart w:val="0"/>
      <w:pStyle w:val="Level1"/>
      <w:lvlText w:val="%2"/>
      <w:lvlJc w:val="left"/>
      <w:pPr>
        <w:tabs>
          <w:tab w:val="num" w:pos="567"/>
        </w:tabs>
        <w:ind w:left="567" w:hanging="567"/>
      </w:pPr>
      <w:rPr>
        <w:rFonts w:hint="default"/>
      </w:rPr>
    </w:lvl>
    <w:lvl w:ilvl="2">
      <w:start w:val="1"/>
      <w:numFmt w:val="decimal"/>
      <w:pStyle w:val="Level2"/>
      <w:lvlText w:val="%2.%3"/>
      <w:lvlJc w:val="left"/>
      <w:pPr>
        <w:tabs>
          <w:tab w:val="num" w:pos="567"/>
        </w:tabs>
        <w:ind w:left="567" w:hanging="567"/>
      </w:pPr>
      <w:rPr>
        <w:rFonts w:hint="default"/>
      </w:rPr>
    </w:lvl>
    <w:lvl w:ilvl="3">
      <w:start w:val="1"/>
      <w:numFmt w:val="decimal"/>
      <w:pStyle w:val="Level3"/>
      <w:lvlText w:val="%2.%3.%4"/>
      <w:lvlJc w:val="left"/>
      <w:pPr>
        <w:tabs>
          <w:tab w:val="num" w:pos="567"/>
        </w:tabs>
        <w:ind w:left="567" w:hanging="567"/>
      </w:pPr>
      <w:rPr>
        <w:rFonts w:hint="default"/>
      </w:rPr>
    </w:lvl>
    <w:lvl w:ilvl="4">
      <w:start w:val="1"/>
      <w:numFmt w:val="lowerLetter"/>
      <w:pStyle w:val="Level4"/>
      <w:lvlText w:val="%5."/>
      <w:lvlJc w:val="left"/>
      <w:pPr>
        <w:tabs>
          <w:tab w:val="num" w:pos="567"/>
        </w:tabs>
        <w:ind w:left="567" w:hanging="567"/>
      </w:pPr>
      <w:rPr>
        <w:rFonts w:hint="default"/>
      </w:rPr>
    </w:lvl>
    <w:lvl w:ilvl="5">
      <w:start w:val="1"/>
      <w:numFmt w:val="lowerRoman"/>
      <w:pStyle w:val="Level5"/>
      <w:lvlText w:val="%6."/>
      <w:lvlJc w:val="left"/>
      <w:pPr>
        <w:ind w:left="567"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247198F"/>
    <w:multiLevelType w:val="hybridMultilevel"/>
    <w:tmpl w:val="259E8BE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E6AA7"/>
    <w:multiLevelType w:val="hybridMultilevel"/>
    <w:tmpl w:val="AD7015F6"/>
    <w:lvl w:ilvl="0" w:tplc="BDA02AA0">
      <w:numFmt w:val="bullet"/>
      <w:lvlText w:val=""/>
      <w:lvlJc w:val="left"/>
      <w:pPr>
        <w:ind w:left="1003" w:hanging="284"/>
      </w:pPr>
      <w:rPr>
        <w:rFonts w:ascii="Symbol" w:eastAsia="Symbol" w:hAnsi="Symbol" w:cs="Symbol" w:hint="default"/>
        <w:color w:val="78A22F"/>
        <w:w w:val="100"/>
        <w:sz w:val="22"/>
        <w:szCs w:val="22"/>
        <w:lang w:val="en-GB" w:eastAsia="en-GB" w:bidi="en-GB"/>
      </w:rPr>
    </w:lvl>
    <w:lvl w:ilvl="1" w:tplc="CB9CBBF2">
      <w:numFmt w:val="bullet"/>
      <w:lvlText w:val="•"/>
      <w:lvlJc w:val="left"/>
      <w:pPr>
        <w:ind w:left="2012" w:hanging="284"/>
      </w:pPr>
      <w:rPr>
        <w:rFonts w:hint="default"/>
        <w:lang w:val="en-GB" w:eastAsia="en-GB" w:bidi="en-GB"/>
      </w:rPr>
    </w:lvl>
    <w:lvl w:ilvl="2" w:tplc="C538A5F2">
      <w:numFmt w:val="bullet"/>
      <w:lvlText w:val="•"/>
      <w:lvlJc w:val="left"/>
      <w:pPr>
        <w:ind w:left="3017" w:hanging="284"/>
      </w:pPr>
      <w:rPr>
        <w:rFonts w:hint="default"/>
        <w:lang w:val="en-GB" w:eastAsia="en-GB" w:bidi="en-GB"/>
      </w:rPr>
    </w:lvl>
    <w:lvl w:ilvl="3" w:tplc="D736B164">
      <w:numFmt w:val="bullet"/>
      <w:lvlText w:val="•"/>
      <w:lvlJc w:val="left"/>
      <w:pPr>
        <w:ind w:left="4021" w:hanging="284"/>
      </w:pPr>
      <w:rPr>
        <w:rFonts w:hint="default"/>
        <w:lang w:val="en-GB" w:eastAsia="en-GB" w:bidi="en-GB"/>
      </w:rPr>
    </w:lvl>
    <w:lvl w:ilvl="4" w:tplc="D91817E2">
      <w:numFmt w:val="bullet"/>
      <w:lvlText w:val="•"/>
      <w:lvlJc w:val="left"/>
      <w:pPr>
        <w:ind w:left="5026" w:hanging="284"/>
      </w:pPr>
      <w:rPr>
        <w:rFonts w:hint="default"/>
        <w:lang w:val="en-GB" w:eastAsia="en-GB" w:bidi="en-GB"/>
      </w:rPr>
    </w:lvl>
    <w:lvl w:ilvl="5" w:tplc="A904AB92">
      <w:numFmt w:val="bullet"/>
      <w:lvlText w:val="•"/>
      <w:lvlJc w:val="left"/>
      <w:pPr>
        <w:ind w:left="6031" w:hanging="284"/>
      </w:pPr>
      <w:rPr>
        <w:rFonts w:hint="default"/>
        <w:lang w:val="en-GB" w:eastAsia="en-GB" w:bidi="en-GB"/>
      </w:rPr>
    </w:lvl>
    <w:lvl w:ilvl="6" w:tplc="883CEEA0">
      <w:numFmt w:val="bullet"/>
      <w:lvlText w:val="•"/>
      <w:lvlJc w:val="left"/>
      <w:pPr>
        <w:ind w:left="7035" w:hanging="284"/>
      </w:pPr>
      <w:rPr>
        <w:rFonts w:hint="default"/>
        <w:lang w:val="en-GB" w:eastAsia="en-GB" w:bidi="en-GB"/>
      </w:rPr>
    </w:lvl>
    <w:lvl w:ilvl="7" w:tplc="0596BD4C">
      <w:numFmt w:val="bullet"/>
      <w:lvlText w:val="•"/>
      <w:lvlJc w:val="left"/>
      <w:pPr>
        <w:ind w:left="8040" w:hanging="284"/>
      </w:pPr>
      <w:rPr>
        <w:rFonts w:hint="default"/>
        <w:lang w:val="en-GB" w:eastAsia="en-GB" w:bidi="en-GB"/>
      </w:rPr>
    </w:lvl>
    <w:lvl w:ilvl="8" w:tplc="7DE06826">
      <w:numFmt w:val="bullet"/>
      <w:lvlText w:val="•"/>
      <w:lvlJc w:val="left"/>
      <w:pPr>
        <w:ind w:left="9045" w:hanging="284"/>
      </w:pPr>
      <w:rPr>
        <w:rFonts w:hint="default"/>
        <w:lang w:val="en-GB" w:eastAsia="en-GB" w:bidi="en-GB"/>
      </w:rPr>
    </w:lvl>
  </w:abstractNum>
  <w:abstractNum w:abstractNumId="13" w15:restartNumberingAfterBreak="0">
    <w:nsid w:val="366C1CEA"/>
    <w:multiLevelType w:val="multilevel"/>
    <w:tmpl w:val="023E8784"/>
    <w:numStyleLink w:val="AFMEBullets"/>
  </w:abstractNum>
  <w:abstractNum w:abstractNumId="14" w15:restartNumberingAfterBreak="0">
    <w:nsid w:val="38652B80"/>
    <w:multiLevelType w:val="multilevel"/>
    <w:tmpl w:val="244003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01D4F5D"/>
    <w:multiLevelType w:val="hybridMultilevel"/>
    <w:tmpl w:val="BDB44852"/>
    <w:lvl w:ilvl="0" w:tplc="706090C0">
      <w:start w:val="25"/>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A50252"/>
    <w:multiLevelType w:val="multilevel"/>
    <w:tmpl w:val="63D8C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C2732C8"/>
    <w:multiLevelType w:val="hybridMultilevel"/>
    <w:tmpl w:val="AFC6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F10C33"/>
    <w:multiLevelType w:val="multilevel"/>
    <w:tmpl w:val="4F0AA3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17E2653"/>
    <w:multiLevelType w:val="multilevel"/>
    <w:tmpl w:val="13D42B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52501475"/>
    <w:multiLevelType w:val="hybridMultilevel"/>
    <w:tmpl w:val="E378E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64A2961"/>
    <w:multiLevelType w:val="hybridMultilevel"/>
    <w:tmpl w:val="3A8C6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90422E"/>
    <w:multiLevelType w:val="hybridMultilevel"/>
    <w:tmpl w:val="6D862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173AA8"/>
    <w:multiLevelType w:val="hybridMultilevel"/>
    <w:tmpl w:val="DD5232CE"/>
    <w:lvl w:ilvl="0" w:tplc="93C0CE02">
      <w:start w:val="1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29B7B0E"/>
    <w:multiLevelType w:val="hybridMultilevel"/>
    <w:tmpl w:val="1CD21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180811"/>
    <w:multiLevelType w:val="hybridMultilevel"/>
    <w:tmpl w:val="551A2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245A87"/>
    <w:multiLevelType w:val="multilevel"/>
    <w:tmpl w:val="7254854C"/>
    <w:styleLink w:val="Sources"/>
    <w:lvl w:ilvl="0">
      <w:start w:val="1"/>
      <w:numFmt w:val="none"/>
      <w:pStyle w:val="Source"/>
      <w:suff w:val="space"/>
      <w:lvlText w:val="Source:"/>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B4B372F"/>
    <w:multiLevelType w:val="hybridMultilevel"/>
    <w:tmpl w:val="9134E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227657"/>
    <w:multiLevelType w:val="hybridMultilevel"/>
    <w:tmpl w:val="E7BEF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4A43E1"/>
    <w:multiLevelType w:val="hybridMultilevel"/>
    <w:tmpl w:val="84D67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6"/>
  </w:num>
  <w:num w:numId="4">
    <w:abstractNumId w:val="13"/>
  </w:num>
  <w:num w:numId="5">
    <w:abstractNumId w:val="1"/>
  </w:num>
  <w:num w:numId="6">
    <w:abstractNumId w:val="23"/>
  </w:num>
  <w:num w:numId="7">
    <w:abstractNumId w:val="23"/>
  </w:num>
  <w:num w:numId="8">
    <w:abstractNumId w:val="27"/>
  </w:num>
  <w:num w:numId="9">
    <w:abstractNumId w:val="18"/>
  </w:num>
  <w:num w:numId="10">
    <w:abstractNumId w:val="14"/>
  </w:num>
  <w:num w:numId="11">
    <w:abstractNumId w:val="19"/>
  </w:num>
  <w:num w:numId="12">
    <w:abstractNumId w:val="9"/>
  </w:num>
  <w:num w:numId="13">
    <w:abstractNumId w:val="16"/>
  </w:num>
  <w:num w:numId="14">
    <w:abstractNumId w:val="22"/>
  </w:num>
  <w:num w:numId="15">
    <w:abstractNumId w:val="29"/>
  </w:num>
  <w:num w:numId="16">
    <w:abstractNumId w:val="3"/>
  </w:num>
  <w:num w:numId="17">
    <w:abstractNumId w:val="1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2"/>
  </w:num>
  <w:num w:numId="21">
    <w:abstractNumId w:val="4"/>
  </w:num>
  <w:num w:numId="22">
    <w:abstractNumId w:val="21"/>
  </w:num>
  <w:num w:numId="23">
    <w:abstractNumId w:val="15"/>
  </w:num>
  <w:num w:numId="24">
    <w:abstractNumId w:val="6"/>
  </w:num>
  <w:num w:numId="25">
    <w:abstractNumId w:val="25"/>
  </w:num>
  <w:num w:numId="26">
    <w:abstractNumId w:val="20"/>
  </w:num>
  <w:num w:numId="27">
    <w:abstractNumId w:val="24"/>
  </w:num>
  <w:num w:numId="28">
    <w:abstractNumId w:val="0"/>
  </w:num>
  <w:num w:numId="29">
    <w:abstractNumId w:val="7"/>
  </w:num>
  <w:num w:numId="30">
    <w:abstractNumId w:val="11"/>
  </w:num>
  <w:num w:numId="31">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CAE"/>
    <w:rsid w:val="0000314D"/>
    <w:rsid w:val="000042A9"/>
    <w:rsid w:val="00007CC6"/>
    <w:rsid w:val="000146FF"/>
    <w:rsid w:val="000200E8"/>
    <w:rsid w:val="00020F3C"/>
    <w:rsid w:val="00023870"/>
    <w:rsid w:val="00023EB9"/>
    <w:rsid w:val="00027AB7"/>
    <w:rsid w:val="0003040A"/>
    <w:rsid w:val="00033167"/>
    <w:rsid w:val="000367FC"/>
    <w:rsid w:val="00037E72"/>
    <w:rsid w:val="00043DCF"/>
    <w:rsid w:val="000440F4"/>
    <w:rsid w:val="0004750C"/>
    <w:rsid w:val="0005258E"/>
    <w:rsid w:val="000561DF"/>
    <w:rsid w:val="000577EC"/>
    <w:rsid w:val="00060D96"/>
    <w:rsid w:val="00061F14"/>
    <w:rsid w:val="000631EB"/>
    <w:rsid w:val="00064AE4"/>
    <w:rsid w:val="00066069"/>
    <w:rsid w:val="00071486"/>
    <w:rsid w:val="000716AC"/>
    <w:rsid w:val="000748CF"/>
    <w:rsid w:val="00080373"/>
    <w:rsid w:val="00080A4D"/>
    <w:rsid w:val="00081B2A"/>
    <w:rsid w:val="00090400"/>
    <w:rsid w:val="000912C7"/>
    <w:rsid w:val="000924F1"/>
    <w:rsid w:val="00092B1A"/>
    <w:rsid w:val="00093CA5"/>
    <w:rsid w:val="00093CE7"/>
    <w:rsid w:val="0009491F"/>
    <w:rsid w:val="0009515A"/>
    <w:rsid w:val="00096486"/>
    <w:rsid w:val="00096781"/>
    <w:rsid w:val="00097266"/>
    <w:rsid w:val="000A19E5"/>
    <w:rsid w:val="000A317C"/>
    <w:rsid w:val="000A3FE8"/>
    <w:rsid w:val="000A5443"/>
    <w:rsid w:val="000A6DBF"/>
    <w:rsid w:val="000A714A"/>
    <w:rsid w:val="000A7EE6"/>
    <w:rsid w:val="000B5D75"/>
    <w:rsid w:val="000B7742"/>
    <w:rsid w:val="000C1DB1"/>
    <w:rsid w:val="000C288B"/>
    <w:rsid w:val="000C380A"/>
    <w:rsid w:val="000C6A34"/>
    <w:rsid w:val="000D0FB2"/>
    <w:rsid w:val="000D46E8"/>
    <w:rsid w:val="000D5B0D"/>
    <w:rsid w:val="000D63F1"/>
    <w:rsid w:val="000D7561"/>
    <w:rsid w:val="000D7A44"/>
    <w:rsid w:val="000E086F"/>
    <w:rsid w:val="000E0D05"/>
    <w:rsid w:val="000E29BA"/>
    <w:rsid w:val="000F1947"/>
    <w:rsid w:val="000F5130"/>
    <w:rsid w:val="000F6737"/>
    <w:rsid w:val="00100D5C"/>
    <w:rsid w:val="0010184D"/>
    <w:rsid w:val="001052FF"/>
    <w:rsid w:val="001060AC"/>
    <w:rsid w:val="00110178"/>
    <w:rsid w:val="0011262C"/>
    <w:rsid w:val="001146FE"/>
    <w:rsid w:val="00116AB2"/>
    <w:rsid w:val="00116C66"/>
    <w:rsid w:val="001175C6"/>
    <w:rsid w:val="00122CD4"/>
    <w:rsid w:val="00124D4C"/>
    <w:rsid w:val="0013071C"/>
    <w:rsid w:val="0013202B"/>
    <w:rsid w:val="001347DA"/>
    <w:rsid w:val="00134D6F"/>
    <w:rsid w:val="00135928"/>
    <w:rsid w:val="00137136"/>
    <w:rsid w:val="00137B77"/>
    <w:rsid w:val="00142F02"/>
    <w:rsid w:val="00146014"/>
    <w:rsid w:val="001503ED"/>
    <w:rsid w:val="00151999"/>
    <w:rsid w:val="00153470"/>
    <w:rsid w:val="00154744"/>
    <w:rsid w:val="00154C09"/>
    <w:rsid w:val="00155810"/>
    <w:rsid w:val="001564A6"/>
    <w:rsid w:val="0015799D"/>
    <w:rsid w:val="00167462"/>
    <w:rsid w:val="00167C9B"/>
    <w:rsid w:val="0017270B"/>
    <w:rsid w:val="00174CC3"/>
    <w:rsid w:val="00185C0C"/>
    <w:rsid w:val="00187D34"/>
    <w:rsid w:val="00191FC0"/>
    <w:rsid w:val="00194524"/>
    <w:rsid w:val="00195EC0"/>
    <w:rsid w:val="001A030A"/>
    <w:rsid w:val="001A091B"/>
    <w:rsid w:val="001A3190"/>
    <w:rsid w:val="001A4258"/>
    <w:rsid w:val="001B0434"/>
    <w:rsid w:val="001B2A09"/>
    <w:rsid w:val="001B396B"/>
    <w:rsid w:val="001B4416"/>
    <w:rsid w:val="001C2476"/>
    <w:rsid w:val="001D0D22"/>
    <w:rsid w:val="001D178A"/>
    <w:rsid w:val="001D17A4"/>
    <w:rsid w:val="001D19DA"/>
    <w:rsid w:val="001D55A1"/>
    <w:rsid w:val="001D7E1E"/>
    <w:rsid w:val="001E0C56"/>
    <w:rsid w:val="001E2604"/>
    <w:rsid w:val="001E3599"/>
    <w:rsid w:val="001E65BF"/>
    <w:rsid w:val="001F247B"/>
    <w:rsid w:val="001F3087"/>
    <w:rsid w:val="00201C9F"/>
    <w:rsid w:val="00201E0A"/>
    <w:rsid w:val="002100FA"/>
    <w:rsid w:val="00211498"/>
    <w:rsid w:val="002114F6"/>
    <w:rsid w:val="00217665"/>
    <w:rsid w:val="00233129"/>
    <w:rsid w:val="00233EF8"/>
    <w:rsid w:val="00235C9E"/>
    <w:rsid w:val="00236430"/>
    <w:rsid w:val="002371BA"/>
    <w:rsid w:val="00241206"/>
    <w:rsid w:val="00242A10"/>
    <w:rsid w:val="00242D30"/>
    <w:rsid w:val="00243267"/>
    <w:rsid w:val="00246118"/>
    <w:rsid w:val="00246A4F"/>
    <w:rsid w:val="0026013D"/>
    <w:rsid w:val="002604E3"/>
    <w:rsid w:val="00261715"/>
    <w:rsid w:val="0026244A"/>
    <w:rsid w:val="00262710"/>
    <w:rsid w:val="0026352C"/>
    <w:rsid w:val="0026434E"/>
    <w:rsid w:val="002660E9"/>
    <w:rsid w:val="002667C9"/>
    <w:rsid w:val="002735A4"/>
    <w:rsid w:val="00273846"/>
    <w:rsid w:val="00277BBE"/>
    <w:rsid w:val="00280DCE"/>
    <w:rsid w:val="00282272"/>
    <w:rsid w:val="00285EED"/>
    <w:rsid w:val="00286953"/>
    <w:rsid w:val="00287996"/>
    <w:rsid w:val="00290E8F"/>
    <w:rsid w:val="00293D63"/>
    <w:rsid w:val="00295107"/>
    <w:rsid w:val="00295499"/>
    <w:rsid w:val="00297752"/>
    <w:rsid w:val="002A11C1"/>
    <w:rsid w:val="002A2AE8"/>
    <w:rsid w:val="002A304F"/>
    <w:rsid w:val="002A3069"/>
    <w:rsid w:val="002A5285"/>
    <w:rsid w:val="002A6AAB"/>
    <w:rsid w:val="002B6F25"/>
    <w:rsid w:val="002C1EC9"/>
    <w:rsid w:val="002C7418"/>
    <w:rsid w:val="002C74AD"/>
    <w:rsid w:val="002D19A8"/>
    <w:rsid w:val="002D1C2E"/>
    <w:rsid w:val="002D3674"/>
    <w:rsid w:val="002D4EB1"/>
    <w:rsid w:val="002D7AF3"/>
    <w:rsid w:val="002E740E"/>
    <w:rsid w:val="002F02C6"/>
    <w:rsid w:val="00301C0A"/>
    <w:rsid w:val="00302C7B"/>
    <w:rsid w:val="00302D9D"/>
    <w:rsid w:val="00303EDE"/>
    <w:rsid w:val="00304D57"/>
    <w:rsid w:val="00306CD1"/>
    <w:rsid w:val="00310274"/>
    <w:rsid w:val="00310480"/>
    <w:rsid w:val="00316820"/>
    <w:rsid w:val="003227A2"/>
    <w:rsid w:val="00324DF8"/>
    <w:rsid w:val="00326D33"/>
    <w:rsid w:val="0032714E"/>
    <w:rsid w:val="00331058"/>
    <w:rsid w:val="00331BA7"/>
    <w:rsid w:val="003350D4"/>
    <w:rsid w:val="00340047"/>
    <w:rsid w:val="00340618"/>
    <w:rsid w:val="00341E95"/>
    <w:rsid w:val="003433CB"/>
    <w:rsid w:val="0035099E"/>
    <w:rsid w:val="003525CF"/>
    <w:rsid w:val="00352CB7"/>
    <w:rsid w:val="00353215"/>
    <w:rsid w:val="003532AA"/>
    <w:rsid w:val="0035690A"/>
    <w:rsid w:val="00356F0A"/>
    <w:rsid w:val="003618DD"/>
    <w:rsid w:val="00365D44"/>
    <w:rsid w:val="0036607C"/>
    <w:rsid w:val="00370CEC"/>
    <w:rsid w:val="00372139"/>
    <w:rsid w:val="00373853"/>
    <w:rsid w:val="00380CAA"/>
    <w:rsid w:val="0038315E"/>
    <w:rsid w:val="003861E8"/>
    <w:rsid w:val="003869CC"/>
    <w:rsid w:val="003873E8"/>
    <w:rsid w:val="00387D54"/>
    <w:rsid w:val="00394D9E"/>
    <w:rsid w:val="00396996"/>
    <w:rsid w:val="003A0BF5"/>
    <w:rsid w:val="003A193B"/>
    <w:rsid w:val="003A46F6"/>
    <w:rsid w:val="003A5290"/>
    <w:rsid w:val="003A6D99"/>
    <w:rsid w:val="003B16F3"/>
    <w:rsid w:val="003B1CB5"/>
    <w:rsid w:val="003B1D93"/>
    <w:rsid w:val="003B21F1"/>
    <w:rsid w:val="003B2A88"/>
    <w:rsid w:val="003B3C39"/>
    <w:rsid w:val="003B4390"/>
    <w:rsid w:val="003B4A16"/>
    <w:rsid w:val="003B4BA5"/>
    <w:rsid w:val="003B5A9B"/>
    <w:rsid w:val="003C1C46"/>
    <w:rsid w:val="003C5E8E"/>
    <w:rsid w:val="003C77F2"/>
    <w:rsid w:val="003D1A4E"/>
    <w:rsid w:val="003D2374"/>
    <w:rsid w:val="003D31EE"/>
    <w:rsid w:val="003E0E23"/>
    <w:rsid w:val="003E2185"/>
    <w:rsid w:val="003E2696"/>
    <w:rsid w:val="003E327F"/>
    <w:rsid w:val="003E3A44"/>
    <w:rsid w:val="003E411D"/>
    <w:rsid w:val="003E6654"/>
    <w:rsid w:val="003F0345"/>
    <w:rsid w:val="003F16EC"/>
    <w:rsid w:val="003F1F9B"/>
    <w:rsid w:val="003F421B"/>
    <w:rsid w:val="003F5D4D"/>
    <w:rsid w:val="003F647B"/>
    <w:rsid w:val="003F7F16"/>
    <w:rsid w:val="00401872"/>
    <w:rsid w:val="00405015"/>
    <w:rsid w:val="0040580A"/>
    <w:rsid w:val="00411B32"/>
    <w:rsid w:val="00416F71"/>
    <w:rsid w:val="00416FC6"/>
    <w:rsid w:val="00417AB7"/>
    <w:rsid w:val="00421820"/>
    <w:rsid w:val="00421D98"/>
    <w:rsid w:val="00424E7F"/>
    <w:rsid w:val="00426C77"/>
    <w:rsid w:val="00430B5B"/>
    <w:rsid w:val="00431628"/>
    <w:rsid w:val="00431C2A"/>
    <w:rsid w:val="00433CBA"/>
    <w:rsid w:val="004369D3"/>
    <w:rsid w:val="00437086"/>
    <w:rsid w:val="0043709E"/>
    <w:rsid w:val="00440EEF"/>
    <w:rsid w:val="00442B31"/>
    <w:rsid w:val="00444D80"/>
    <w:rsid w:val="00446763"/>
    <w:rsid w:val="00452088"/>
    <w:rsid w:val="00456567"/>
    <w:rsid w:val="00460531"/>
    <w:rsid w:val="004606A1"/>
    <w:rsid w:val="00461D61"/>
    <w:rsid w:val="00461ED3"/>
    <w:rsid w:val="004632E2"/>
    <w:rsid w:val="00464E30"/>
    <w:rsid w:val="004664D6"/>
    <w:rsid w:val="00472534"/>
    <w:rsid w:val="00473614"/>
    <w:rsid w:val="00473861"/>
    <w:rsid w:val="00474648"/>
    <w:rsid w:val="00477C9D"/>
    <w:rsid w:val="00481662"/>
    <w:rsid w:val="004872C3"/>
    <w:rsid w:val="004901FF"/>
    <w:rsid w:val="00496915"/>
    <w:rsid w:val="004A1B89"/>
    <w:rsid w:val="004A2C63"/>
    <w:rsid w:val="004A4206"/>
    <w:rsid w:val="004A52D2"/>
    <w:rsid w:val="004A7C07"/>
    <w:rsid w:val="004B0D81"/>
    <w:rsid w:val="004B67BA"/>
    <w:rsid w:val="004B7B80"/>
    <w:rsid w:val="004C24F2"/>
    <w:rsid w:val="004C3FCC"/>
    <w:rsid w:val="004C786E"/>
    <w:rsid w:val="004D4296"/>
    <w:rsid w:val="004D757B"/>
    <w:rsid w:val="004E5FEA"/>
    <w:rsid w:val="004E6B46"/>
    <w:rsid w:val="004E730E"/>
    <w:rsid w:val="004F22A2"/>
    <w:rsid w:val="004F508C"/>
    <w:rsid w:val="004F5E87"/>
    <w:rsid w:val="00503E20"/>
    <w:rsid w:val="00505CAE"/>
    <w:rsid w:val="00507A22"/>
    <w:rsid w:val="00507CF7"/>
    <w:rsid w:val="00511BCA"/>
    <w:rsid w:val="00512278"/>
    <w:rsid w:val="005141F5"/>
    <w:rsid w:val="00520EC8"/>
    <w:rsid w:val="00521051"/>
    <w:rsid w:val="005215BC"/>
    <w:rsid w:val="0052532E"/>
    <w:rsid w:val="005308F6"/>
    <w:rsid w:val="00531A3A"/>
    <w:rsid w:val="0053288E"/>
    <w:rsid w:val="0053470F"/>
    <w:rsid w:val="005348A2"/>
    <w:rsid w:val="005362A5"/>
    <w:rsid w:val="00542B6F"/>
    <w:rsid w:val="005453E2"/>
    <w:rsid w:val="00545BE2"/>
    <w:rsid w:val="0054625E"/>
    <w:rsid w:val="00546E5D"/>
    <w:rsid w:val="00547348"/>
    <w:rsid w:val="00550109"/>
    <w:rsid w:val="005504D8"/>
    <w:rsid w:val="00550DA2"/>
    <w:rsid w:val="00553F3D"/>
    <w:rsid w:val="0055768E"/>
    <w:rsid w:val="005603DD"/>
    <w:rsid w:val="00563D48"/>
    <w:rsid w:val="0056611D"/>
    <w:rsid w:val="005702FF"/>
    <w:rsid w:val="005741A1"/>
    <w:rsid w:val="00574366"/>
    <w:rsid w:val="00582145"/>
    <w:rsid w:val="00585CAC"/>
    <w:rsid w:val="0059177B"/>
    <w:rsid w:val="005935F7"/>
    <w:rsid w:val="00596E7A"/>
    <w:rsid w:val="00597938"/>
    <w:rsid w:val="005A08DB"/>
    <w:rsid w:val="005A0AB1"/>
    <w:rsid w:val="005B209A"/>
    <w:rsid w:val="005B5F4F"/>
    <w:rsid w:val="005C4490"/>
    <w:rsid w:val="005C5760"/>
    <w:rsid w:val="005D1AFC"/>
    <w:rsid w:val="005D1C98"/>
    <w:rsid w:val="005D3822"/>
    <w:rsid w:val="005E1226"/>
    <w:rsid w:val="005E475A"/>
    <w:rsid w:val="005E499D"/>
    <w:rsid w:val="005E4DDA"/>
    <w:rsid w:val="005F0A4E"/>
    <w:rsid w:val="005F3DE6"/>
    <w:rsid w:val="005F7CB7"/>
    <w:rsid w:val="00605F27"/>
    <w:rsid w:val="00611621"/>
    <w:rsid w:val="006121F5"/>
    <w:rsid w:val="0061325A"/>
    <w:rsid w:val="00616F60"/>
    <w:rsid w:val="006170AF"/>
    <w:rsid w:val="00620DE8"/>
    <w:rsid w:val="006228E3"/>
    <w:rsid w:val="00624C28"/>
    <w:rsid w:val="006252DF"/>
    <w:rsid w:val="00625C78"/>
    <w:rsid w:val="00625E68"/>
    <w:rsid w:val="00627211"/>
    <w:rsid w:val="00640A04"/>
    <w:rsid w:val="00640A20"/>
    <w:rsid w:val="00642E9E"/>
    <w:rsid w:val="00642F8C"/>
    <w:rsid w:val="006433EB"/>
    <w:rsid w:val="006474DA"/>
    <w:rsid w:val="00655F52"/>
    <w:rsid w:val="0066073C"/>
    <w:rsid w:val="00661BA2"/>
    <w:rsid w:val="00662AE5"/>
    <w:rsid w:val="006644E4"/>
    <w:rsid w:val="00665C83"/>
    <w:rsid w:val="00665E08"/>
    <w:rsid w:val="00666D5E"/>
    <w:rsid w:val="00667E6A"/>
    <w:rsid w:val="006714DC"/>
    <w:rsid w:val="00675222"/>
    <w:rsid w:val="006777CC"/>
    <w:rsid w:val="0068281E"/>
    <w:rsid w:val="0068464C"/>
    <w:rsid w:val="00685B20"/>
    <w:rsid w:val="00686894"/>
    <w:rsid w:val="006907D6"/>
    <w:rsid w:val="006916E4"/>
    <w:rsid w:val="00691FF6"/>
    <w:rsid w:val="00692FF7"/>
    <w:rsid w:val="006A0342"/>
    <w:rsid w:val="006A132D"/>
    <w:rsid w:val="006A7C93"/>
    <w:rsid w:val="006C0E14"/>
    <w:rsid w:val="006C14FE"/>
    <w:rsid w:val="006C63D0"/>
    <w:rsid w:val="006C6918"/>
    <w:rsid w:val="006D11C7"/>
    <w:rsid w:val="006D1F7A"/>
    <w:rsid w:val="006D2047"/>
    <w:rsid w:val="006D37C3"/>
    <w:rsid w:val="006D5D0E"/>
    <w:rsid w:val="006E5A0B"/>
    <w:rsid w:val="006E631E"/>
    <w:rsid w:val="006E792A"/>
    <w:rsid w:val="006F1B1F"/>
    <w:rsid w:val="007046FB"/>
    <w:rsid w:val="00704A22"/>
    <w:rsid w:val="00713EDD"/>
    <w:rsid w:val="00713FE1"/>
    <w:rsid w:val="00714411"/>
    <w:rsid w:val="00722963"/>
    <w:rsid w:val="0072407C"/>
    <w:rsid w:val="00725BD2"/>
    <w:rsid w:val="0073336A"/>
    <w:rsid w:val="00734C82"/>
    <w:rsid w:val="0073571D"/>
    <w:rsid w:val="00736B2D"/>
    <w:rsid w:val="007457AC"/>
    <w:rsid w:val="00747EA1"/>
    <w:rsid w:val="0075353F"/>
    <w:rsid w:val="0075790A"/>
    <w:rsid w:val="00757C36"/>
    <w:rsid w:val="00760958"/>
    <w:rsid w:val="00760F04"/>
    <w:rsid w:val="00767F73"/>
    <w:rsid w:val="00770991"/>
    <w:rsid w:val="007745A2"/>
    <w:rsid w:val="007752C2"/>
    <w:rsid w:val="007774CF"/>
    <w:rsid w:val="00777AF5"/>
    <w:rsid w:val="00780F34"/>
    <w:rsid w:val="0078122B"/>
    <w:rsid w:val="007864FF"/>
    <w:rsid w:val="00787092"/>
    <w:rsid w:val="0078798E"/>
    <w:rsid w:val="00794CF5"/>
    <w:rsid w:val="00794F0C"/>
    <w:rsid w:val="00795CD4"/>
    <w:rsid w:val="00797161"/>
    <w:rsid w:val="007A1D42"/>
    <w:rsid w:val="007A3EF8"/>
    <w:rsid w:val="007A4842"/>
    <w:rsid w:val="007A598C"/>
    <w:rsid w:val="007B29B7"/>
    <w:rsid w:val="007B4EFE"/>
    <w:rsid w:val="007C28E9"/>
    <w:rsid w:val="007C425B"/>
    <w:rsid w:val="007C5124"/>
    <w:rsid w:val="007C52CB"/>
    <w:rsid w:val="007C725E"/>
    <w:rsid w:val="007D4F33"/>
    <w:rsid w:val="007D5B09"/>
    <w:rsid w:val="007D69DF"/>
    <w:rsid w:val="007E0E64"/>
    <w:rsid w:val="007E2D81"/>
    <w:rsid w:val="007E3317"/>
    <w:rsid w:val="007E3B34"/>
    <w:rsid w:val="007E64E4"/>
    <w:rsid w:val="007F0D0A"/>
    <w:rsid w:val="007F105F"/>
    <w:rsid w:val="007F15CA"/>
    <w:rsid w:val="007F2BA5"/>
    <w:rsid w:val="007F3F72"/>
    <w:rsid w:val="007F441B"/>
    <w:rsid w:val="007F5B7A"/>
    <w:rsid w:val="00800E7E"/>
    <w:rsid w:val="00803C56"/>
    <w:rsid w:val="00806D8E"/>
    <w:rsid w:val="00812028"/>
    <w:rsid w:val="008121B5"/>
    <w:rsid w:val="00812646"/>
    <w:rsid w:val="0081386B"/>
    <w:rsid w:val="00820D74"/>
    <w:rsid w:val="00822329"/>
    <w:rsid w:val="00823D77"/>
    <w:rsid w:val="00825B0D"/>
    <w:rsid w:val="00826458"/>
    <w:rsid w:val="00826E07"/>
    <w:rsid w:val="008308CD"/>
    <w:rsid w:val="00833119"/>
    <w:rsid w:val="00833BDC"/>
    <w:rsid w:val="00836F8B"/>
    <w:rsid w:val="00837949"/>
    <w:rsid w:val="00837DB0"/>
    <w:rsid w:val="00840E6F"/>
    <w:rsid w:val="00841DFC"/>
    <w:rsid w:val="00842319"/>
    <w:rsid w:val="00842A82"/>
    <w:rsid w:val="00842CFD"/>
    <w:rsid w:val="008448BC"/>
    <w:rsid w:val="00844C69"/>
    <w:rsid w:val="00845A97"/>
    <w:rsid w:val="00851759"/>
    <w:rsid w:val="0085179E"/>
    <w:rsid w:val="00854B19"/>
    <w:rsid w:val="008564C7"/>
    <w:rsid w:val="00856C35"/>
    <w:rsid w:val="0085740D"/>
    <w:rsid w:val="0085765B"/>
    <w:rsid w:val="0086167C"/>
    <w:rsid w:val="008638AC"/>
    <w:rsid w:val="00866D8E"/>
    <w:rsid w:val="00867351"/>
    <w:rsid w:val="008721C2"/>
    <w:rsid w:val="008722DA"/>
    <w:rsid w:val="00874486"/>
    <w:rsid w:val="00875BD7"/>
    <w:rsid w:val="00876B5F"/>
    <w:rsid w:val="00880C60"/>
    <w:rsid w:val="008814EE"/>
    <w:rsid w:val="008836F1"/>
    <w:rsid w:val="00883753"/>
    <w:rsid w:val="0088504B"/>
    <w:rsid w:val="00887A20"/>
    <w:rsid w:val="00887AC7"/>
    <w:rsid w:val="008947E7"/>
    <w:rsid w:val="00894D41"/>
    <w:rsid w:val="008964B0"/>
    <w:rsid w:val="008A29D2"/>
    <w:rsid w:val="008A6F87"/>
    <w:rsid w:val="008A7448"/>
    <w:rsid w:val="008B47F9"/>
    <w:rsid w:val="008B6FED"/>
    <w:rsid w:val="008C2ABB"/>
    <w:rsid w:val="008C2EFB"/>
    <w:rsid w:val="008C699A"/>
    <w:rsid w:val="008C6BB0"/>
    <w:rsid w:val="008D0407"/>
    <w:rsid w:val="008D13F9"/>
    <w:rsid w:val="008E22FE"/>
    <w:rsid w:val="008E60F9"/>
    <w:rsid w:val="008F2167"/>
    <w:rsid w:val="008F5737"/>
    <w:rsid w:val="008F5ED1"/>
    <w:rsid w:val="00901375"/>
    <w:rsid w:val="00901EDC"/>
    <w:rsid w:val="009034DC"/>
    <w:rsid w:val="0090766A"/>
    <w:rsid w:val="00912909"/>
    <w:rsid w:val="00916D16"/>
    <w:rsid w:val="0092120A"/>
    <w:rsid w:val="00921DBF"/>
    <w:rsid w:val="0092210B"/>
    <w:rsid w:val="009238F8"/>
    <w:rsid w:val="00923F8B"/>
    <w:rsid w:val="00925707"/>
    <w:rsid w:val="009258FA"/>
    <w:rsid w:val="00926BF0"/>
    <w:rsid w:val="00926F94"/>
    <w:rsid w:val="00933B2D"/>
    <w:rsid w:val="00935382"/>
    <w:rsid w:val="0095146F"/>
    <w:rsid w:val="00952BFD"/>
    <w:rsid w:val="009530B2"/>
    <w:rsid w:val="0095419B"/>
    <w:rsid w:val="00960217"/>
    <w:rsid w:val="00960BCB"/>
    <w:rsid w:val="009611A8"/>
    <w:rsid w:val="0096386C"/>
    <w:rsid w:val="009646FA"/>
    <w:rsid w:val="00965EF7"/>
    <w:rsid w:val="00966EFE"/>
    <w:rsid w:val="00967021"/>
    <w:rsid w:val="00967890"/>
    <w:rsid w:val="00970AA5"/>
    <w:rsid w:val="009729A8"/>
    <w:rsid w:val="00973153"/>
    <w:rsid w:val="0098027D"/>
    <w:rsid w:val="00983691"/>
    <w:rsid w:val="00984706"/>
    <w:rsid w:val="00990769"/>
    <w:rsid w:val="00992544"/>
    <w:rsid w:val="00993E10"/>
    <w:rsid w:val="009957E0"/>
    <w:rsid w:val="009A22C5"/>
    <w:rsid w:val="009A370F"/>
    <w:rsid w:val="009A61D2"/>
    <w:rsid w:val="009A6442"/>
    <w:rsid w:val="009A77A7"/>
    <w:rsid w:val="009B1630"/>
    <w:rsid w:val="009B3E1A"/>
    <w:rsid w:val="009B5651"/>
    <w:rsid w:val="009B7529"/>
    <w:rsid w:val="009C6C18"/>
    <w:rsid w:val="009C7375"/>
    <w:rsid w:val="009D192A"/>
    <w:rsid w:val="009D3F89"/>
    <w:rsid w:val="009D4500"/>
    <w:rsid w:val="009D606F"/>
    <w:rsid w:val="009D6911"/>
    <w:rsid w:val="009E1F03"/>
    <w:rsid w:val="009E3B6B"/>
    <w:rsid w:val="009E6552"/>
    <w:rsid w:val="009F10FB"/>
    <w:rsid w:val="009F36A4"/>
    <w:rsid w:val="009F4DC0"/>
    <w:rsid w:val="009F53DA"/>
    <w:rsid w:val="009F67E6"/>
    <w:rsid w:val="009F6995"/>
    <w:rsid w:val="00A02DAF"/>
    <w:rsid w:val="00A03F76"/>
    <w:rsid w:val="00A046ED"/>
    <w:rsid w:val="00A049E9"/>
    <w:rsid w:val="00A057F2"/>
    <w:rsid w:val="00A10BA2"/>
    <w:rsid w:val="00A117F5"/>
    <w:rsid w:val="00A121B9"/>
    <w:rsid w:val="00A14A36"/>
    <w:rsid w:val="00A162A3"/>
    <w:rsid w:val="00A168A5"/>
    <w:rsid w:val="00A1751C"/>
    <w:rsid w:val="00A17B14"/>
    <w:rsid w:val="00A21A81"/>
    <w:rsid w:val="00A21B83"/>
    <w:rsid w:val="00A23B0B"/>
    <w:rsid w:val="00A2475A"/>
    <w:rsid w:val="00A2629D"/>
    <w:rsid w:val="00A32807"/>
    <w:rsid w:val="00A338E0"/>
    <w:rsid w:val="00A3460C"/>
    <w:rsid w:val="00A35632"/>
    <w:rsid w:val="00A37D18"/>
    <w:rsid w:val="00A4518F"/>
    <w:rsid w:val="00A45559"/>
    <w:rsid w:val="00A45C0D"/>
    <w:rsid w:val="00A46FA3"/>
    <w:rsid w:val="00A500C0"/>
    <w:rsid w:val="00A50456"/>
    <w:rsid w:val="00A5045A"/>
    <w:rsid w:val="00A56069"/>
    <w:rsid w:val="00A6499B"/>
    <w:rsid w:val="00A72AEB"/>
    <w:rsid w:val="00A73932"/>
    <w:rsid w:val="00A74EDE"/>
    <w:rsid w:val="00A80753"/>
    <w:rsid w:val="00A80807"/>
    <w:rsid w:val="00A839BE"/>
    <w:rsid w:val="00A872A4"/>
    <w:rsid w:val="00A9331E"/>
    <w:rsid w:val="00A9396D"/>
    <w:rsid w:val="00A950F1"/>
    <w:rsid w:val="00A9563D"/>
    <w:rsid w:val="00AA1210"/>
    <w:rsid w:val="00AA39EE"/>
    <w:rsid w:val="00AA4A2E"/>
    <w:rsid w:val="00AA5437"/>
    <w:rsid w:val="00AA6E59"/>
    <w:rsid w:val="00AA79AC"/>
    <w:rsid w:val="00AB0FE9"/>
    <w:rsid w:val="00AB1438"/>
    <w:rsid w:val="00AB3838"/>
    <w:rsid w:val="00AB42BC"/>
    <w:rsid w:val="00AB5023"/>
    <w:rsid w:val="00AC49D3"/>
    <w:rsid w:val="00AC69D3"/>
    <w:rsid w:val="00AC73C3"/>
    <w:rsid w:val="00AD0211"/>
    <w:rsid w:val="00AD523F"/>
    <w:rsid w:val="00AE044A"/>
    <w:rsid w:val="00AE0A1C"/>
    <w:rsid w:val="00AE0F85"/>
    <w:rsid w:val="00AE4BE3"/>
    <w:rsid w:val="00AE5327"/>
    <w:rsid w:val="00AE6AAA"/>
    <w:rsid w:val="00AE7863"/>
    <w:rsid w:val="00AF38BC"/>
    <w:rsid w:val="00B02093"/>
    <w:rsid w:val="00B02155"/>
    <w:rsid w:val="00B03B89"/>
    <w:rsid w:val="00B05AC0"/>
    <w:rsid w:val="00B11FEB"/>
    <w:rsid w:val="00B125C7"/>
    <w:rsid w:val="00B1457E"/>
    <w:rsid w:val="00B20465"/>
    <w:rsid w:val="00B20D8E"/>
    <w:rsid w:val="00B22FEB"/>
    <w:rsid w:val="00B2641B"/>
    <w:rsid w:val="00B326E1"/>
    <w:rsid w:val="00B367C6"/>
    <w:rsid w:val="00B37F20"/>
    <w:rsid w:val="00B40AAD"/>
    <w:rsid w:val="00B5192C"/>
    <w:rsid w:val="00B5519D"/>
    <w:rsid w:val="00B557FF"/>
    <w:rsid w:val="00B57D10"/>
    <w:rsid w:val="00B6104C"/>
    <w:rsid w:val="00B629C6"/>
    <w:rsid w:val="00B71970"/>
    <w:rsid w:val="00B83699"/>
    <w:rsid w:val="00B837E9"/>
    <w:rsid w:val="00B845F4"/>
    <w:rsid w:val="00B8772C"/>
    <w:rsid w:val="00B87C99"/>
    <w:rsid w:val="00B91229"/>
    <w:rsid w:val="00B95534"/>
    <w:rsid w:val="00B9584A"/>
    <w:rsid w:val="00B96DCA"/>
    <w:rsid w:val="00BA2958"/>
    <w:rsid w:val="00BA2F66"/>
    <w:rsid w:val="00BB0D34"/>
    <w:rsid w:val="00BB5F7E"/>
    <w:rsid w:val="00BC0462"/>
    <w:rsid w:val="00BC1F1C"/>
    <w:rsid w:val="00BC20EA"/>
    <w:rsid w:val="00BC515C"/>
    <w:rsid w:val="00BD0ACA"/>
    <w:rsid w:val="00BD0E60"/>
    <w:rsid w:val="00BD1D42"/>
    <w:rsid w:val="00BE118B"/>
    <w:rsid w:val="00BE11B1"/>
    <w:rsid w:val="00BE2283"/>
    <w:rsid w:val="00BE32C8"/>
    <w:rsid w:val="00BE3EBE"/>
    <w:rsid w:val="00BE5A00"/>
    <w:rsid w:val="00BF0C57"/>
    <w:rsid w:val="00BF4DB6"/>
    <w:rsid w:val="00BF6A8D"/>
    <w:rsid w:val="00BF7247"/>
    <w:rsid w:val="00C00401"/>
    <w:rsid w:val="00C0431F"/>
    <w:rsid w:val="00C05B2D"/>
    <w:rsid w:val="00C112D6"/>
    <w:rsid w:val="00C128EA"/>
    <w:rsid w:val="00C129CF"/>
    <w:rsid w:val="00C13A5B"/>
    <w:rsid w:val="00C143AE"/>
    <w:rsid w:val="00C14A33"/>
    <w:rsid w:val="00C17B90"/>
    <w:rsid w:val="00C2573A"/>
    <w:rsid w:val="00C264E2"/>
    <w:rsid w:val="00C26521"/>
    <w:rsid w:val="00C27A28"/>
    <w:rsid w:val="00C31526"/>
    <w:rsid w:val="00C32571"/>
    <w:rsid w:val="00C33B3D"/>
    <w:rsid w:val="00C34162"/>
    <w:rsid w:val="00C34513"/>
    <w:rsid w:val="00C42475"/>
    <w:rsid w:val="00C424F0"/>
    <w:rsid w:val="00C4264B"/>
    <w:rsid w:val="00C42E2B"/>
    <w:rsid w:val="00C46A7E"/>
    <w:rsid w:val="00C53047"/>
    <w:rsid w:val="00C548AF"/>
    <w:rsid w:val="00C55417"/>
    <w:rsid w:val="00C60A8C"/>
    <w:rsid w:val="00C63531"/>
    <w:rsid w:val="00C63CE4"/>
    <w:rsid w:val="00C653BE"/>
    <w:rsid w:val="00C71FBF"/>
    <w:rsid w:val="00C72501"/>
    <w:rsid w:val="00C74427"/>
    <w:rsid w:val="00C753A4"/>
    <w:rsid w:val="00C8378C"/>
    <w:rsid w:val="00C8383C"/>
    <w:rsid w:val="00C84FF6"/>
    <w:rsid w:val="00C87C89"/>
    <w:rsid w:val="00C90763"/>
    <w:rsid w:val="00CA122C"/>
    <w:rsid w:val="00CA16A7"/>
    <w:rsid w:val="00CA2D4E"/>
    <w:rsid w:val="00CA3303"/>
    <w:rsid w:val="00CA51C8"/>
    <w:rsid w:val="00CB2C3F"/>
    <w:rsid w:val="00CB4C5A"/>
    <w:rsid w:val="00CB4F9D"/>
    <w:rsid w:val="00CB505A"/>
    <w:rsid w:val="00CC27C7"/>
    <w:rsid w:val="00CC7D03"/>
    <w:rsid w:val="00CD3E6D"/>
    <w:rsid w:val="00CE2EFD"/>
    <w:rsid w:val="00CE7B53"/>
    <w:rsid w:val="00CF052D"/>
    <w:rsid w:val="00CF1D77"/>
    <w:rsid w:val="00CF247B"/>
    <w:rsid w:val="00CF26CF"/>
    <w:rsid w:val="00CF3819"/>
    <w:rsid w:val="00CF4371"/>
    <w:rsid w:val="00CF77DC"/>
    <w:rsid w:val="00CF788C"/>
    <w:rsid w:val="00CF788F"/>
    <w:rsid w:val="00D026FD"/>
    <w:rsid w:val="00D05B3A"/>
    <w:rsid w:val="00D063BF"/>
    <w:rsid w:val="00D11069"/>
    <w:rsid w:val="00D14BF0"/>
    <w:rsid w:val="00D15D91"/>
    <w:rsid w:val="00D22622"/>
    <w:rsid w:val="00D245B9"/>
    <w:rsid w:val="00D2496E"/>
    <w:rsid w:val="00D270D0"/>
    <w:rsid w:val="00D27373"/>
    <w:rsid w:val="00D3104F"/>
    <w:rsid w:val="00D35459"/>
    <w:rsid w:val="00D413D7"/>
    <w:rsid w:val="00D45CE3"/>
    <w:rsid w:val="00D520E6"/>
    <w:rsid w:val="00D5255F"/>
    <w:rsid w:val="00D52A85"/>
    <w:rsid w:val="00D5409D"/>
    <w:rsid w:val="00D56BBF"/>
    <w:rsid w:val="00D62AE5"/>
    <w:rsid w:val="00D64AAA"/>
    <w:rsid w:val="00D64C74"/>
    <w:rsid w:val="00D65528"/>
    <w:rsid w:val="00D66ECB"/>
    <w:rsid w:val="00D72B28"/>
    <w:rsid w:val="00D7399E"/>
    <w:rsid w:val="00D74871"/>
    <w:rsid w:val="00D749CF"/>
    <w:rsid w:val="00D75165"/>
    <w:rsid w:val="00D75CF6"/>
    <w:rsid w:val="00D76C65"/>
    <w:rsid w:val="00D80C33"/>
    <w:rsid w:val="00D8169A"/>
    <w:rsid w:val="00D821C1"/>
    <w:rsid w:val="00D863B0"/>
    <w:rsid w:val="00D87E2B"/>
    <w:rsid w:val="00D903BC"/>
    <w:rsid w:val="00DA0A7E"/>
    <w:rsid w:val="00DA0F9F"/>
    <w:rsid w:val="00DA3125"/>
    <w:rsid w:val="00DA40F4"/>
    <w:rsid w:val="00DA4331"/>
    <w:rsid w:val="00DB554C"/>
    <w:rsid w:val="00DB6EB4"/>
    <w:rsid w:val="00DC005E"/>
    <w:rsid w:val="00DC0363"/>
    <w:rsid w:val="00DC0710"/>
    <w:rsid w:val="00DC213F"/>
    <w:rsid w:val="00DC36A3"/>
    <w:rsid w:val="00DC49FA"/>
    <w:rsid w:val="00DD106A"/>
    <w:rsid w:val="00DD654F"/>
    <w:rsid w:val="00DE1F3B"/>
    <w:rsid w:val="00DE2E1C"/>
    <w:rsid w:val="00DE37C0"/>
    <w:rsid w:val="00DF67B6"/>
    <w:rsid w:val="00E00272"/>
    <w:rsid w:val="00E009F8"/>
    <w:rsid w:val="00E06F9E"/>
    <w:rsid w:val="00E10305"/>
    <w:rsid w:val="00E10769"/>
    <w:rsid w:val="00E11346"/>
    <w:rsid w:val="00E11D53"/>
    <w:rsid w:val="00E13CF0"/>
    <w:rsid w:val="00E1695D"/>
    <w:rsid w:val="00E23A5F"/>
    <w:rsid w:val="00E24C7D"/>
    <w:rsid w:val="00E275F3"/>
    <w:rsid w:val="00E27F0C"/>
    <w:rsid w:val="00E315EE"/>
    <w:rsid w:val="00E330FA"/>
    <w:rsid w:val="00E33270"/>
    <w:rsid w:val="00E332AD"/>
    <w:rsid w:val="00E3486C"/>
    <w:rsid w:val="00E34B76"/>
    <w:rsid w:val="00E437B9"/>
    <w:rsid w:val="00E43A3C"/>
    <w:rsid w:val="00E43EC1"/>
    <w:rsid w:val="00E44ABE"/>
    <w:rsid w:val="00E51CDD"/>
    <w:rsid w:val="00E5328C"/>
    <w:rsid w:val="00E61E28"/>
    <w:rsid w:val="00E74679"/>
    <w:rsid w:val="00E76C12"/>
    <w:rsid w:val="00E81C76"/>
    <w:rsid w:val="00E827D9"/>
    <w:rsid w:val="00E84D3E"/>
    <w:rsid w:val="00E877B2"/>
    <w:rsid w:val="00E93651"/>
    <w:rsid w:val="00E942F7"/>
    <w:rsid w:val="00E97043"/>
    <w:rsid w:val="00EA37AB"/>
    <w:rsid w:val="00EA4A0B"/>
    <w:rsid w:val="00EA5B3D"/>
    <w:rsid w:val="00EA6C80"/>
    <w:rsid w:val="00EA75C4"/>
    <w:rsid w:val="00EB6517"/>
    <w:rsid w:val="00EC162F"/>
    <w:rsid w:val="00EC4048"/>
    <w:rsid w:val="00EC5AAB"/>
    <w:rsid w:val="00EC7BB9"/>
    <w:rsid w:val="00ED3104"/>
    <w:rsid w:val="00EE1ACD"/>
    <w:rsid w:val="00EE3330"/>
    <w:rsid w:val="00EE379C"/>
    <w:rsid w:val="00EE4D5F"/>
    <w:rsid w:val="00EE7E5A"/>
    <w:rsid w:val="00EF3F05"/>
    <w:rsid w:val="00F00360"/>
    <w:rsid w:val="00F00464"/>
    <w:rsid w:val="00F01B3D"/>
    <w:rsid w:val="00F17C4B"/>
    <w:rsid w:val="00F22F3E"/>
    <w:rsid w:val="00F240D7"/>
    <w:rsid w:val="00F25196"/>
    <w:rsid w:val="00F25FA1"/>
    <w:rsid w:val="00F30A56"/>
    <w:rsid w:val="00F30A73"/>
    <w:rsid w:val="00F3453F"/>
    <w:rsid w:val="00F36E2B"/>
    <w:rsid w:val="00F40EA7"/>
    <w:rsid w:val="00F43ACD"/>
    <w:rsid w:val="00F47A99"/>
    <w:rsid w:val="00F503FA"/>
    <w:rsid w:val="00F50711"/>
    <w:rsid w:val="00F536F8"/>
    <w:rsid w:val="00F54142"/>
    <w:rsid w:val="00F6007A"/>
    <w:rsid w:val="00F613A6"/>
    <w:rsid w:val="00F6183B"/>
    <w:rsid w:val="00F62DC0"/>
    <w:rsid w:val="00F634CB"/>
    <w:rsid w:val="00F6696F"/>
    <w:rsid w:val="00F67BF0"/>
    <w:rsid w:val="00F75288"/>
    <w:rsid w:val="00F75AFF"/>
    <w:rsid w:val="00F75CB0"/>
    <w:rsid w:val="00F77647"/>
    <w:rsid w:val="00F85C6C"/>
    <w:rsid w:val="00F871DC"/>
    <w:rsid w:val="00F87980"/>
    <w:rsid w:val="00F91E1C"/>
    <w:rsid w:val="00F93E16"/>
    <w:rsid w:val="00F942A8"/>
    <w:rsid w:val="00F95D27"/>
    <w:rsid w:val="00F96123"/>
    <w:rsid w:val="00FA097B"/>
    <w:rsid w:val="00FA2906"/>
    <w:rsid w:val="00FA4C4B"/>
    <w:rsid w:val="00FA579C"/>
    <w:rsid w:val="00FA608E"/>
    <w:rsid w:val="00FB0DB6"/>
    <w:rsid w:val="00FB1672"/>
    <w:rsid w:val="00FB3941"/>
    <w:rsid w:val="00FB4AB0"/>
    <w:rsid w:val="00FB5F22"/>
    <w:rsid w:val="00FB7953"/>
    <w:rsid w:val="00FC31CC"/>
    <w:rsid w:val="00FC5BF4"/>
    <w:rsid w:val="00FD0081"/>
    <w:rsid w:val="00FD0873"/>
    <w:rsid w:val="00FD2272"/>
    <w:rsid w:val="00FD6B63"/>
    <w:rsid w:val="00FD7009"/>
    <w:rsid w:val="00FE0A6A"/>
    <w:rsid w:val="00FE2193"/>
    <w:rsid w:val="00FF1D98"/>
    <w:rsid w:val="00FF3F44"/>
    <w:rsid w:val="00FF4E9E"/>
    <w:rsid w:val="00FF59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4DF54"/>
  <w15:docId w15:val="{17CBC013-13DD-4A12-96E7-FB7D68604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imes New Roman"/>
        <w:lang w:val="fr-FR" w:eastAsia="en-GB" w:bidi="ar-SA"/>
      </w:rPr>
    </w:rPrDefault>
    <w:pPrDefault/>
  </w:docDefaults>
  <w:latentStyles w:defLockedState="0" w:defUIPriority="99" w:defSemiHidden="0" w:defUnhideWhenUsed="0" w:defQFormat="0" w:count="377">
    <w:lsdException w:name="Normal" w:uiPriority="5" w:qFormat="1"/>
    <w:lsdException w:name="heading 1" w:uiPriority="2" w:qFormat="1"/>
    <w:lsdException w:name="heading 2" w:semiHidden="1" w:uiPriority="2" w:unhideWhenUsed="1" w:qFormat="1"/>
    <w:lsdException w:name="heading 3" w:semiHidden="1" w:uiPriority="2" w:unhideWhenUsed="1"/>
    <w:lsdException w:name="heading 4" w:semiHidden="1" w:unhideWhenUsed="1" w:qFormat="1"/>
    <w:lsdException w:name="heading 5" w:semiHidden="1" w:unhideWhenUsed="1" w:qFormat="1"/>
    <w:lsdException w:name="heading 6" w:semiHidden="1" w:uiPriority="34" w:unhideWhenUsed="1" w:qFormat="1"/>
    <w:lsdException w:name="heading 7" w:semiHidden="1" w:uiPriority="34" w:unhideWhenUsed="1" w:qFormat="1"/>
    <w:lsdException w:name="heading 8" w:semiHidden="1" w:uiPriority="34" w:unhideWhenUsed="1" w:qFormat="1"/>
    <w:lsdException w:name="heading 9" w:semiHidden="1" w:uiPriority="3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9" w:unhideWhenUsed="1"/>
    <w:lsdException w:name="footer" w:semiHidden="1" w:uiPriority="2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4"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24"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uiPriority w:val="5"/>
    <w:qFormat/>
    <w:rsid w:val="0075790A"/>
    <w:pPr>
      <w:spacing w:line="260" w:lineRule="atLeast"/>
    </w:pPr>
    <w:rPr>
      <w:sz w:val="22"/>
      <w:szCs w:val="22"/>
    </w:rPr>
  </w:style>
  <w:style w:type="paragraph" w:styleId="Heading1">
    <w:name w:val="heading 1"/>
    <w:basedOn w:val="Normal"/>
    <w:next w:val="BodyText"/>
    <w:link w:val="Heading1Char"/>
    <w:uiPriority w:val="2"/>
    <w:qFormat/>
    <w:rsid w:val="0075790A"/>
    <w:pPr>
      <w:spacing w:before="240" w:after="120"/>
      <w:outlineLvl w:val="0"/>
    </w:pPr>
    <w:rPr>
      <w:b/>
    </w:rPr>
  </w:style>
  <w:style w:type="paragraph" w:styleId="Heading2">
    <w:name w:val="heading 2"/>
    <w:basedOn w:val="Heading1"/>
    <w:next w:val="BodyText"/>
    <w:link w:val="Heading2Char"/>
    <w:uiPriority w:val="2"/>
    <w:qFormat/>
    <w:rsid w:val="0075790A"/>
    <w:pPr>
      <w:numPr>
        <w:ilvl w:val="1"/>
      </w:numPr>
      <w:spacing w:after="0"/>
      <w:outlineLvl w:val="1"/>
    </w:pPr>
  </w:style>
  <w:style w:type="paragraph" w:styleId="Heading3">
    <w:name w:val="heading 3"/>
    <w:basedOn w:val="Normal"/>
    <w:next w:val="BodyText"/>
    <w:link w:val="Heading3Char"/>
    <w:uiPriority w:val="2"/>
    <w:rsid w:val="0075790A"/>
    <w:pPr>
      <w:keepNext/>
      <w:keepLines/>
      <w:spacing w:before="240"/>
      <w:outlineLvl w:val="2"/>
    </w:pPr>
    <w:rPr>
      <w:rFonts w:eastAsiaTheme="majorEastAsia" w:cstheme="majorBidi"/>
      <w:color w:val="78A22F" w:themeColor="accent1"/>
      <w:szCs w:val="24"/>
    </w:rPr>
  </w:style>
  <w:style w:type="paragraph" w:styleId="Heading4">
    <w:name w:val="heading 4"/>
    <w:basedOn w:val="Normal"/>
    <w:next w:val="BodyText"/>
    <w:link w:val="Heading4Char"/>
    <w:uiPriority w:val="99"/>
    <w:rsid w:val="0075790A"/>
    <w:pPr>
      <w:keepNext/>
      <w:keepLines/>
      <w:outlineLvl w:val="3"/>
    </w:pPr>
    <w:rPr>
      <w:rFonts w:eastAsiaTheme="majorEastAsia" w:cstheme="majorBidi"/>
      <w:b/>
      <w:iCs/>
      <w:color w:val="808285" w:themeColor="accent5"/>
    </w:rPr>
  </w:style>
  <w:style w:type="paragraph" w:styleId="Heading5">
    <w:name w:val="heading 5"/>
    <w:basedOn w:val="Normal"/>
    <w:next w:val="BodyText"/>
    <w:link w:val="Heading5Char"/>
    <w:uiPriority w:val="99"/>
    <w:rsid w:val="0075790A"/>
    <w:pPr>
      <w:keepNext/>
      <w:keepLines/>
      <w:outlineLvl w:val="4"/>
    </w:pPr>
    <w:rPr>
      <w:rFonts w:eastAsiaTheme="majorEastAsia" w:cstheme="majorBid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9"/>
    <w:rsid w:val="0075790A"/>
    <w:pPr>
      <w:tabs>
        <w:tab w:val="center" w:pos="4513"/>
        <w:tab w:val="right" w:pos="9026"/>
      </w:tabs>
      <w:spacing w:line="240" w:lineRule="auto"/>
      <w:jc w:val="right"/>
    </w:pPr>
    <w:rPr>
      <w:rFonts w:asciiTheme="majorHAnsi" w:hAnsiTheme="majorHAnsi"/>
      <w:sz w:val="18"/>
    </w:rPr>
  </w:style>
  <w:style w:type="character" w:customStyle="1" w:styleId="HeaderChar">
    <w:name w:val="Header Char"/>
    <w:basedOn w:val="DefaultParagraphFont"/>
    <w:link w:val="Header"/>
    <w:uiPriority w:val="29"/>
    <w:rsid w:val="0075790A"/>
    <w:rPr>
      <w:rFonts w:asciiTheme="majorHAnsi" w:hAnsiTheme="majorHAnsi"/>
      <w:sz w:val="18"/>
      <w:szCs w:val="22"/>
    </w:rPr>
  </w:style>
  <w:style w:type="paragraph" w:styleId="Footer">
    <w:name w:val="footer"/>
    <w:basedOn w:val="Normal"/>
    <w:link w:val="FooterChar"/>
    <w:uiPriority w:val="29"/>
    <w:rsid w:val="0075790A"/>
    <w:pPr>
      <w:tabs>
        <w:tab w:val="center" w:pos="4513"/>
        <w:tab w:val="right" w:pos="9026"/>
      </w:tabs>
      <w:spacing w:line="240" w:lineRule="auto"/>
      <w:ind w:right="397"/>
    </w:pPr>
    <w:rPr>
      <w:rFonts w:asciiTheme="majorHAnsi" w:hAnsiTheme="majorHAnsi"/>
      <w:color w:val="78A22F" w:themeColor="accent1"/>
      <w:sz w:val="18"/>
    </w:rPr>
  </w:style>
  <w:style w:type="character" w:customStyle="1" w:styleId="FooterChar">
    <w:name w:val="Footer Char"/>
    <w:basedOn w:val="DefaultParagraphFont"/>
    <w:link w:val="Footer"/>
    <w:uiPriority w:val="29"/>
    <w:rsid w:val="0075790A"/>
    <w:rPr>
      <w:rFonts w:asciiTheme="majorHAnsi" w:hAnsiTheme="majorHAnsi"/>
      <w:color w:val="78A22F" w:themeColor="accent1"/>
      <w:sz w:val="18"/>
      <w:szCs w:val="22"/>
    </w:rPr>
  </w:style>
  <w:style w:type="paragraph" w:customStyle="1" w:styleId="FooterHeading">
    <w:name w:val="Footer Heading"/>
    <w:basedOn w:val="Normal"/>
    <w:uiPriority w:val="29"/>
    <w:rsid w:val="0075790A"/>
    <w:pPr>
      <w:spacing w:line="220" w:lineRule="atLeast"/>
    </w:pPr>
    <w:rPr>
      <w:rFonts w:asciiTheme="majorHAnsi" w:eastAsiaTheme="minorEastAsia" w:hAnsiTheme="majorHAnsi" w:cstheme="minorBidi"/>
      <w:b/>
      <w:color w:val="78A22F" w:themeColor="accent1"/>
      <w:sz w:val="18"/>
    </w:rPr>
  </w:style>
  <w:style w:type="paragraph" w:customStyle="1" w:styleId="FooterOffices">
    <w:name w:val="Footer Offices"/>
    <w:basedOn w:val="Normal"/>
    <w:uiPriority w:val="29"/>
    <w:rsid w:val="0075790A"/>
    <w:pPr>
      <w:spacing w:line="220" w:lineRule="atLeast"/>
    </w:pPr>
    <w:rPr>
      <w:rFonts w:eastAsiaTheme="minorEastAsia" w:cstheme="minorBidi"/>
      <w:color w:val="000000" w:themeColor="text1"/>
      <w:sz w:val="18"/>
    </w:rPr>
  </w:style>
  <w:style w:type="paragraph" w:customStyle="1" w:styleId="FooterRegistration">
    <w:name w:val="Footer Registration"/>
    <w:basedOn w:val="FooterOffices"/>
    <w:uiPriority w:val="29"/>
    <w:rsid w:val="0075790A"/>
    <w:rPr>
      <w:sz w:val="14"/>
    </w:rPr>
  </w:style>
  <w:style w:type="paragraph" w:styleId="Title">
    <w:name w:val="Title"/>
    <w:next w:val="Subtitle"/>
    <w:link w:val="TitleChar"/>
    <w:uiPriority w:val="8"/>
    <w:qFormat/>
    <w:rsid w:val="0075790A"/>
    <w:pPr>
      <w:pBdr>
        <w:top w:val="single" w:sz="8" w:space="5" w:color="78A22F" w:themeColor="accent1"/>
      </w:pBdr>
      <w:spacing w:line="320" w:lineRule="atLeast"/>
    </w:pPr>
    <w:rPr>
      <w:rFonts w:asciiTheme="majorHAnsi" w:eastAsiaTheme="majorEastAsia" w:hAnsiTheme="majorHAnsi" w:cstheme="majorBidi"/>
      <w:b/>
      <w:color w:val="78A22F" w:themeColor="accent1"/>
      <w:sz w:val="32"/>
      <w:szCs w:val="32"/>
    </w:rPr>
  </w:style>
  <w:style w:type="character" w:customStyle="1" w:styleId="TitleChar">
    <w:name w:val="Title Char"/>
    <w:basedOn w:val="DefaultParagraphFont"/>
    <w:link w:val="Title"/>
    <w:uiPriority w:val="8"/>
    <w:rsid w:val="0075790A"/>
    <w:rPr>
      <w:rFonts w:asciiTheme="majorHAnsi" w:eastAsiaTheme="majorEastAsia" w:hAnsiTheme="majorHAnsi" w:cstheme="majorBidi"/>
      <w:b/>
      <w:color w:val="78A22F" w:themeColor="accent1"/>
      <w:sz w:val="32"/>
      <w:szCs w:val="32"/>
    </w:rPr>
  </w:style>
  <w:style w:type="character" w:styleId="Hyperlink">
    <w:name w:val="Hyperlink"/>
    <w:uiPriority w:val="99"/>
    <w:unhideWhenUsed/>
    <w:rsid w:val="0075790A"/>
    <w:rPr>
      <w:color w:val="78A22F" w:themeColor="accent1"/>
      <w:u w:val="none"/>
    </w:rPr>
  </w:style>
  <w:style w:type="character" w:styleId="FollowedHyperlink">
    <w:name w:val="FollowedHyperlink"/>
    <w:basedOn w:val="DefaultParagraphFont"/>
    <w:uiPriority w:val="99"/>
    <w:semiHidden/>
    <w:unhideWhenUsed/>
    <w:rsid w:val="0075790A"/>
    <w:rPr>
      <w:color w:val="800080" w:themeColor="followedHyperlink"/>
      <w:u w:val="single"/>
    </w:rPr>
  </w:style>
  <w:style w:type="character" w:customStyle="1" w:styleId="Heading1Char">
    <w:name w:val="Heading 1 Char"/>
    <w:basedOn w:val="DefaultParagraphFont"/>
    <w:link w:val="Heading1"/>
    <w:uiPriority w:val="2"/>
    <w:rsid w:val="0075790A"/>
    <w:rPr>
      <w:b/>
      <w:sz w:val="22"/>
      <w:szCs w:val="22"/>
    </w:rPr>
  </w:style>
  <w:style w:type="character" w:customStyle="1" w:styleId="Heading2Char">
    <w:name w:val="Heading 2 Char"/>
    <w:basedOn w:val="DefaultParagraphFont"/>
    <w:link w:val="Heading2"/>
    <w:uiPriority w:val="2"/>
    <w:rsid w:val="0075790A"/>
    <w:rPr>
      <w:b/>
      <w:sz w:val="22"/>
      <w:szCs w:val="22"/>
    </w:rPr>
  </w:style>
  <w:style w:type="character" w:customStyle="1" w:styleId="Heading3Char">
    <w:name w:val="Heading 3 Char"/>
    <w:basedOn w:val="DefaultParagraphFont"/>
    <w:link w:val="Heading3"/>
    <w:uiPriority w:val="2"/>
    <w:rsid w:val="0075790A"/>
    <w:rPr>
      <w:rFonts w:eastAsiaTheme="majorEastAsia" w:cstheme="majorBidi"/>
      <w:color w:val="78A22F" w:themeColor="accent1"/>
      <w:sz w:val="22"/>
      <w:szCs w:val="24"/>
    </w:rPr>
  </w:style>
  <w:style w:type="character" w:customStyle="1" w:styleId="Heading4Char">
    <w:name w:val="Heading 4 Char"/>
    <w:basedOn w:val="DefaultParagraphFont"/>
    <w:link w:val="Heading4"/>
    <w:uiPriority w:val="99"/>
    <w:rsid w:val="0075790A"/>
    <w:rPr>
      <w:rFonts w:eastAsiaTheme="majorEastAsia" w:cstheme="majorBidi"/>
      <w:b/>
      <w:iCs/>
      <w:color w:val="808285" w:themeColor="accent5"/>
      <w:sz w:val="22"/>
      <w:szCs w:val="22"/>
    </w:rPr>
  </w:style>
  <w:style w:type="paragraph" w:styleId="Subtitle">
    <w:name w:val="Subtitle"/>
    <w:next w:val="Date"/>
    <w:link w:val="SubtitleChar"/>
    <w:uiPriority w:val="9"/>
    <w:qFormat/>
    <w:rsid w:val="0075790A"/>
    <w:pPr>
      <w:spacing w:line="320" w:lineRule="atLeast"/>
    </w:pPr>
    <w:rPr>
      <w:rFonts w:eastAsiaTheme="majorEastAsia" w:cstheme="majorBidi"/>
      <w:b/>
      <w:sz w:val="28"/>
      <w:szCs w:val="26"/>
    </w:rPr>
  </w:style>
  <w:style w:type="character" w:customStyle="1" w:styleId="SubtitleChar">
    <w:name w:val="Subtitle Char"/>
    <w:basedOn w:val="DefaultParagraphFont"/>
    <w:link w:val="Subtitle"/>
    <w:uiPriority w:val="9"/>
    <w:rsid w:val="0075790A"/>
    <w:rPr>
      <w:rFonts w:eastAsiaTheme="majorEastAsia" w:cstheme="majorBidi"/>
      <w:b/>
      <w:sz w:val="28"/>
      <w:szCs w:val="26"/>
    </w:rPr>
  </w:style>
  <w:style w:type="character" w:customStyle="1" w:styleId="Heading5Char">
    <w:name w:val="Heading 5 Char"/>
    <w:basedOn w:val="DefaultParagraphFont"/>
    <w:link w:val="Heading5"/>
    <w:uiPriority w:val="99"/>
    <w:rsid w:val="0075790A"/>
    <w:rPr>
      <w:rFonts w:eastAsiaTheme="majorEastAsia" w:cstheme="majorBidi"/>
      <w:sz w:val="18"/>
      <w:szCs w:val="22"/>
    </w:rPr>
  </w:style>
  <w:style w:type="paragraph" w:styleId="BalloonText">
    <w:name w:val="Balloon Text"/>
    <w:basedOn w:val="Normal"/>
    <w:link w:val="BalloonTextChar"/>
    <w:uiPriority w:val="99"/>
    <w:semiHidden/>
    <w:unhideWhenUsed/>
    <w:rsid w:val="007579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790A"/>
    <w:rPr>
      <w:rFonts w:ascii="Segoe UI" w:hAnsi="Segoe UI" w:cs="Segoe UI"/>
      <w:sz w:val="18"/>
      <w:szCs w:val="18"/>
    </w:rPr>
  </w:style>
  <w:style w:type="paragraph" w:customStyle="1" w:styleId="Subject">
    <w:name w:val="Subject"/>
    <w:basedOn w:val="BodyText"/>
    <w:next w:val="BodyTextIndented2"/>
    <w:uiPriority w:val="13"/>
    <w:qFormat/>
    <w:rsid w:val="0075790A"/>
    <w:pPr>
      <w:keepNext/>
      <w:spacing w:before="60" w:after="60"/>
      <w:jc w:val="left"/>
    </w:pPr>
    <w:rPr>
      <w:rFonts w:asciiTheme="majorHAnsi" w:hAnsiTheme="majorHAnsi"/>
      <w:b/>
      <w:color w:val="78A22F" w:themeColor="accent1"/>
    </w:rPr>
  </w:style>
  <w:style w:type="paragraph" w:styleId="NoSpacing">
    <w:name w:val="No Spacing"/>
    <w:uiPriority w:val="99"/>
    <w:semiHidden/>
    <w:qFormat/>
    <w:rsid w:val="0075790A"/>
    <w:pPr>
      <w:jc w:val="both"/>
    </w:pPr>
    <w:rPr>
      <w:sz w:val="22"/>
      <w:szCs w:val="22"/>
    </w:rPr>
  </w:style>
  <w:style w:type="paragraph" w:customStyle="1" w:styleId="Subject2">
    <w:name w:val="Subject2"/>
    <w:basedOn w:val="BodyText"/>
    <w:next w:val="BodyTextIndented2"/>
    <w:uiPriority w:val="13"/>
    <w:qFormat/>
    <w:rsid w:val="0075790A"/>
    <w:pPr>
      <w:keepNext/>
      <w:spacing w:before="60" w:after="60"/>
      <w:jc w:val="left"/>
    </w:pPr>
    <w:rPr>
      <w:rFonts w:asciiTheme="majorHAnsi" w:hAnsiTheme="majorHAnsi"/>
      <w:b/>
      <w:color w:val="58595B" w:themeColor="accent6"/>
    </w:rPr>
  </w:style>
  <w:style w:type="numbering" w:customStyle="1" w:styleId="AFMENumbering">
    <w:name w:val="AFME Numbering"/>
    <w:uiPriority w:val="99"/>
    <w:rsid w:val="0075790A"/>
    <w:pPr>
      <w:numPr>
        <w:numId w:val="1"/>
      </w:numPr>
    </w:pPr>
  </w:style>
  <w:style w:type="numbering" w:customStyle="1" w:styleId="AFMEBullets">
    <w:name w:val="AFME Bullets"/>
    <w:uiPriority w:val="99"/>
    <w:rsid w:val="0075790A"/>
    <w:pPr>
      <w:numPr>
        <w:numId w:val="2"/>
      </w:numPr>
    </w:pPr>
  </w:style>
  <w:style w:type="paragraph" w:styleId="ListParagraph">
    <w:name w:val="List Paragraph"/>
    <w:basedOn w:val="Normal"/>
    <w:uiPriority w:val="1"/>
    <w:qFormat/>
    <w:rsid w:val="0075790A"/>
    <w:pPr>
      <w:ind w:left="720"/>
      <w:contextualSpacing/>
    </w:pPr>
  </w:style>
  <w:style w:type="paragraph" w:customStyle="1" w:styleId="Bullets1">
    <w:name w:val="Bullets 1"/>
    <w:basedOn w:val="Normal"/>
    <w:uiPriority w:val="4"/>
    <w:qFormat/>
    <w:rsid w:val="0075790A"/>
    <w:pPr>
      <w:numPr>
        <w:numId w:val="4"/>
      </w:numPr>
      <w:spacing w:after="120"/>
      <w:contextualSpacing/>
    </w:pPr>
  </w:style>
  <w:style w:type="paragraph" w:customStyle="1" w:styleId="Bullets2">
    <w:name w:val="Bullets 2"/>
    <w:basedOn w:val="Bullets1"/>
    <w:uiPriority w:val="4"/>
    <w:qFormat/>
    <w:rsid w:val="0075790A"/>
    <w:pPr>
      <w:numPr>
        <w:ilvl w:val="1"/>
      </w:numPr>
    </w:pPr>
  </w:style>
  <w:style w:type="paragraph" w:customStyle="1" w:styleId="Bullets3">
    <w:name w:val="Bullets 3"/>
    <w:basedOn w:val="Bullets2"/>
    <w:uiPriority w:val="4"/>
    <w:unhideWhenUsed/>
    <w:rsid w:val="0075790A"/>
    <w:pPr>
      <w:numPr>
        <w:ilvl w:val="2"/>
      </w:numPr>
    </w:pPr>
  </w:style>
  <w:style w:type="paragraph" w:styleId="BodyText">
    <w:name w:val="Body Text"/>
    <w:basedOn w:val="Normal"/>
    <w:link w:val="BodyTextChar"/>
    <w:uiPriority w:val="1"/>
    <w:qFormat/>
    <w:rsid w:val="0075790A"/>
    <w:pPr>
      <w:spacing w:after="120"/>
      <w:jc w:val="both"/>
    </w:pPr>
  </w:style>
  <w:style w:type="character" w:customStyle="1" w:styleId="BodyTextChar">
    <w:name w:val="Body Text Char"/>
    <w:basedOn w:val="DefaultParagraphFont"/>
    <w:link w:val="BodyText"/>
    <w:rsid w:val="0075790A"/>
    <w:rPr>
      <w:sz w:val="22"/>
      <w:szCs w:val="22"/>
    </w:rPr>
  </w:style>
  <w:style w:type="paragraph" w:styleId="FootnoteText">
    <w:name w:val="footnote text"/>
    <w:basedOn w:val="Normal"/>
    <w:link w:val="FootnoteTextChar"/>
    <w:uiPriority w:val="99"/>
    <w:rsid w:val="0075790A"/>
    <w:pPr>
      <w:spacing w:line="240" w:lineRule="auto"/>
    </w:pPr>
    <w:rPr>
      <w:rFonts w:asciiTheme="majorHAnsi" w:hAnsiTheme="majorHAnsi"/>
      <w:sz w:val="14"/>
    </w:rPr>
  </w:style>
  <w:style w:type="character" w:customStyle="1" w:styleId="FootnoteTextChar">
    <w:name w:val="Footnote Text Char"/>
    <w:basedOn w:val="DefaultParagraphFont"/>
    <w:link w:val="FootnoteText"/>
    <w:uiPriority w:val="99"/>
    <w:rsid w:val="0075790A"/>
    <w:rPr>
      <w:rFonts w:asciiTheme="majorHAnsi" w:hAnsiTheme="majorHAnsi"/>
      <w:sz w:val="14"/>
      <w:szCs w:val="22"/>
    </w:rPr>
  </w:style>
  <w:style w:type="character" w:styleId="FootnoteReference">
    <w:name w:val="footnote reference"/>
    <w:basedOn w:val="DefaultParagraphFont"/>
    <w:uiPriority w:val="99"/>
    <w:semiHidden/>
    <w:unhideWhenUsed/>
    <w:rsid w:val="0075790A"/>
    <w:rPr>
      <w:vertAlign w:val="superscript"/>
    </w:rPr>
  </w:style>
  <w:style w:type="paragraph" w:customStyle="1" w:styleId="GreenLine">
    <w:name w:val="Green Line"/>
    <w:basedOn w:val="Normal"/>
    <w:next w:val="BodyText"/>
    <w:uiPriority w:val="23"/>
    <w:qFormat/>
    <w:rsid w:val="0075790A"/>
    <w:pPr>
      <w:pBdr>
        <w:bottom w:val="single" w:sz="8" w:space="1" w:color="78A22F" w:themeColor="accent1"/>
      </w:pBdr>
      <w:spacing w:after="240"/>
    </w:pPr>
    <w:rPr>
      <w:rFonts w:asciiTheme="majorHAnsi" w:hAnsiTheme="majorHAnsi"/>
      <w:color w:val="78A22F" w:themeColor="accent1"/>
    </w:rPr>
  </w:style>
  <w:style w:type="paragraph" w:customStyle="1" w:styleId="BodyTextIndented2">
    <w:name w:val="Body Text Indented 2"/>
    <w:basedOn w:val="BodyText"/>
    <w:uiPriority w:val="1"/>
    <w:rsid w:val="0075790A"/>
    <w:pPr>
      <w:ind w:left="284"/>
    </w:pPr>
  </w:style>
  <w:style w:type="table" w:styleId="TableGrid">
    <w:name w:val="Table Grid"/>
    <w:basedOn w:val="TableNormal"/>
    <w:uiPriority w:val="59"/>
    <w:rsid w:val="0075790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CoverOffices">
    <w:name w:val="Back Cover Offices"/>
    <w:basedOn w:val="Normal"/>
    <w:uiPriority w:val="29"/>
    <w:rsid w:val="0075790A"/>
    <w:rPr>
      <w:rFonts w:asciiTheme="majorHAnsi" w:hAnsiTheme="majorHAnsi" w:cstheme="majorHAnsi"/>
      <w:b/>
      <w:color w:val="78A22F" w:themeColor="accent1"/>
    </w:rPr>
  </w:style>
  <w:style w:type="paragraph" w:customStyle="1" w:styleId="BackCoverNames">
    <w:name w:val="Back Cover Names"/>
    <w:basedOn w:val="Normal"/>
    <w:link w:val="BackCoverNamesChar"/>
    <w:uiPriority w:val="29"/>
    <w:rsid w:val="0075790A"/>
    <w:rPr>
      <w:b/>
      <w:color w:val="58595B" w:themeColor="text2"/>
    </w:rPr>
  </w:style>
  <w:style w:type="paragraph" w:customStyle="1" w:styleId="BackCoverURL">
    <w:name w:val="Back Cover URL"/>
    <w:basedOn w:val="BackCoverOffices"/>
    <w:uiPriority w:val="29"/>
    <w:rsid w:val="0075790A"/>
    <w:rPr>
      <w:b w:val="0"/>
    </w:rPr>
  </w:style>
  <w:style w:type="character" w:customStyle="1" w:styleId="BackCoverNamesChar">
    <w:name w:val="Back Cover Names Char"/>
    <w:basedOn w:val="DefaultParagraphFont"/>
    <w:link w:val="BackCoverNames"/>
    <w:uiPriority w:val="29"/>
    <w:rsid w:val="0075790A"/>
    <w:rPr>
      <w:b/>
      <w:color w:val="58595B" w:themeColor="text2"/>
      <w:sz w:val="22"/>
      <w:szCs w:val="22"/>
    </w:rPr>
  </w:style>
  <w:style w:type="paragraph" w:styleId="TOC1">
    <w:name w:val="toc 1"/>
    <w:basedOn w:val="Normal"/>
    <w:next w:val="Normal"/>
    <w:autoRedefine/>
    <w:uiPriority w:val="39"/>
    <w:rsid w:val="0075790A"/>
    <w:pPr>
      <w:tabs>
        <w:tab w:val="right" w:leader="dot" w:pos="10194"/>
      </w:tabs>
      <w:spacing w:before="160" w:after="60" w:line="240" w:lineRule="auto"/>
      <w:ind w:right="284"/>
    </w:pPr>
    <w:rPr>
      <w:rFonts w:asciiTheme="majorHAnsi" w:hAnsiTheme="majorHAnsi"/>
      <w:b/>
      <w:color w:val="78A22F" w:themeColor="accent1"/>
      <w:sz w:val="18"/>
    </w:rPr>
  </w:style>
  <w:style w:type="paragraph" w:styleId="TOC2">
    <w:name w:val="toc 2"/>
    <w:basedOn w:val="Normal"/>
    <w:next w:val="Normal"/>
    <w:autoRedefine/>
    <w:uiPriority w:val="39"/>
    <w:rsid w:val="0075790A"/>
    <w:pPr>
      <w:spacing w:before="60" w:after="60" w:line="240" w:lineRule="auto"/>
      <w:ind w:left="454" w:right="284" w:hanging="284"/>
    </w:pPr>
    <w:rPr>
      <w:rFonts w:asciiTheme="majorHAnsi" w:hAnsiTheme="majorHAnsi"/>
      <w:color w:val="78A22F" w:themeColor="accent1"/>
      <w:sz w:val="16"/>
    </w:rPr>
  </w:style>
  <w:style w:type="paragraph" w:styleId="TOC3">
    <w:name w:val="toc 3"/>
    <w:basedOn w:val="Normal"/>
    <w:next w:val="Normal"/>
    <w:autoRedefine/>
    <w:uiPriority w:val="39"/>
    <w:rsid w:val="0075790A"/>
    <w:pPr>
      <w:tabs>
        <w:tab w:val="left" w:pos="880"/>
        <w:tab w:val="right" w:leader="dot" w:pos="10194"/>
      </w:tabs>
      <w:spacing w:line="240" w:lineRule="auto"/>
      <w:ind w:left="737" w:right="284" w:hanging="397"/>
    </w:pPr>
    <w:rPr>
      <w:sz w:val="16"/>
    </w:rPr>
  </w:style>
  <w:style w:type="paragraph" w:styleId="Quote">
    <w:name w:val="Quote"/>
    <w:basedOn w:val="BodyText"/>
    <w:next w:val="Normal"/>
    <w:link w:val="QuoteChar"/>
    <w:uiPriority w:val="14"/>
    <w:qFormat/>
    <w:rsid w:val="0075790A"/>
    <w:pPr>
      <w:pBdr>
        <w:top w:val="single" w:sz="8" w:space="1" w:color="78A22F" w:themeColor="accent1"/>
      </w:pBdr>
    </w:pPr>
    <w:rPr>
      <w:i/>
      <w:sz w:val="32"/>
      <w:szCs w:val="32"/>
    </w:rPr>
  </w:style>
  <w:style w:type="character" w:customStyle="1" w:styleId="QuoteChar">
    <w:name w:val="Quote Char"/>
    <w:basedOn w:val="DefaultParagraphFont"/>
    <w:link w:val="Quote"/>
    <w:uiPriority w:val="14"/>
    <w:rsid w:val="0075790A"/>
    <w:rPr>
      <w:i/>
      <w:sz w:val="32"/>
      <w:szCs w:val="32"/>
    </w:rPr>
  </w:style>
  <w:style w:type="paragraph" w:styleId="TOCHeading">
    <w:name w:val="TOC Heading"/>
    <w:basedOn w:val="Normal"/>
    <w:next w:val="Normal"/>
    <w:uiPriority w:val="24"/>
    <w:rsid w:val="0075790A"/>
    <w:pPr>
      <w:pBdr>
        <w:bottom w:val="single" w:sz="8" w:space="1" w:color="78A22F" w:themeColor="accent1"/>
      </w:pBdr>
      <w:spacing w:after="240" w:line="360" w:lineRule="atLeast"/>
    </w:pPr>
    <w:rPr>
      <w:rFonts w:asciiTheme="majorHAnsi" w:hAnsiTheme="majorHAnsi"/>
      <w:color w:val="78A22F" w:themeColor="accent1"/>
      <w:sz w:val="32"/>
    </w:rPr>
  </w:style>
  <w:style w:type="paragraph" w:customStyle="1" w:styleId="Source">
    <w:name w:val="Source"/>
    <w:basedOn w:val="BodyText"/>
    <w:next w:val="BodyText"/>
    <w:uiPriority w:val="15"/>
    <w:qFormat/>
    <w:rsid w:val="0075790A"/>
    <w:pPr>
      <w:numPr>
        <w:numId w:val="3"/>
      </w:numPr>
      <w:jc w:val="right"/>
    </w:pPr>
    <w:rPr>
      <w:rFonts w:asciiTheme="majorHAnsi" w:hAnsiTheme="majorHAnsi"/>
      <w:i/>
      <w:color w:val="58595B" w:themeColor="text2"/>
      <w:sz w:val="16"/>
    </w:rPr>
  </w:style>
  <w:style w:type="numbering" w:customStyle="1" w:styleId="Sources">
    <w:name w:val="Sources"/>
    <w:uiPriority w:val="99"/>
    <w:rsid w:val="0075790A"/>
    <w:pPr>
      <w:numPr>
        <w:numId w:val="3"/>
      </w:numPr>
    </w:pPr>
  </w:style>
  <w:style w:type="paragraph" w:customStyle="1" w:styleId="Charts">
    <w:name w:val="Charts"/>
    <w:basedOn w:val="Normal"/>
    <w:next w:val="Source"/>
    <w:uiPriority w:val="14"/>
    <w:qFormat/>
    <w:rsid w:val="0075790A"/>
    <w:pPr>
      <w:spacing w:line="240" w:lineRule="auto"/>
    </w:pPr>
    <w:rPr>
      <w:noProof/>
    </w:rPr>
  </w:style>
  <w:style w:type="paragraph" w:customStyle="1" w:styleId="Pictures">
    <w:name w:val="Pictures"/>
    <w:basedOn w:val="BodyText"/>
    <w:next w:val="Source"/>
    <w:uiPriority w:val="14"/>
    <w:rsid w:val="0075790A"/>
  </w:style>
  <w:style w:type="paragraph" w:customStyle="1" w:styleId="Notes">
    <w:name w:val="Notes"/>
    <w:basedOn w:val="Normal"/>
    <w:next w:val="BodyText"/>
    <w:uiPriority w:val="17"/>
    <w:qFormat/>
    <w:rsid w:val="0075790A"/>
    <w:pPr>
      <w:spacing w:after="120"/>
    </w:pPr>
    <w:rPr>
      <w:b/>
      <w:sz w:val="16"/>
    </w:rPr>
  </w:style>
  <w:style w:type="paragraph" w:customStyle="1" w:styleId="SectionHeading">
    <w:name w:val="Section Heading"/>
    <w:basedOn w:val="BodyText"/>
    <w:next w:val="Level1"/>
    <w:uiPriority w:val="11"/>
    <w:qFormat/>
    <w:rsid w:val="0075790A"/>
    <w:pPr>
      <w:numPr>
        <w:numId w:val="5"/>
      </w:numPr>
      <w:pBdr>
        <w:bottom w:val="single" w:sz="8" w:space="1" w:color="78A22F" w:themeColor="accent1"/>
      </w:pBdr>
      <w:spacing w:line="360" w:lineRule="atLeast"/>
      <w:jc w:val="left"/>
    </w:pPr>
    <w:rPr>
      <w:rFonts w:asciiTheme="majorHAnsi" w:hAnsiTheme="majorHAnsi"/>
      <w:color w:val="78A22F" w:themeColor="accent1"/>
      <w:sz w:val="32"/>
    </w:rPr>
  </w:style>
  <w:style w:type="paragraph" w:customStyle="1" w:styleId="BodyTextIndented1">
    <w:name w:val="Body Text Indented 1"/>
    <w:basedOn w:val="BodyText"/>
    <w:uiPriority w:val="1"/>
    <w:qFormat/>
    <w:rsid w:val="0075790A"/>
    <w:pPr>
      <w:ind w:left="567"/>
    </w:pPr>
  </w:style>
  <w:style w:type="paragraph" w:customStyle="1" w:styleId="CoverTitle">
    <w:name w:val="Cover Title"/>
    <w:basedOn w:val="BodyText"/>
    <w:next w:val="CoverSubtitle"/>
    <w:uiPriority w:val="25"/>
    <w:qFormat/>
    <w:rsid w:val="0075790A"/>
    <w:pPr>
      <w:pBdr>
        <w:bottom w:val="single" w:sz="2" w:space="1" w:color="78A22F" w:themeColor="accent1"/>
      </w:pBdr>
      <w:spacing w:after="360" w:line="240" w:lineRule="auto"/>
      <w:jc w:val="left"/>
    </w:pPr>
    <w:rPr>
      <w:rFonts w:asciiTheme="majorHAnsi" w:hAnsiTheme="majorHAnsi"/>
      <w:b/>
      <w:color w:val="78A22F" w:themeColor="accent1"/>
      <w:sz w:val="72"/>
    </w:rPr>
  </w:style>
  <w:style w:type="paragraph" w:customStyle="1" w:styleId="BodyTextHighlight">
    <w:name w:val="Body Text Highlight"/>
    <w:basedOn w:val="BodyText"/>
    <w:next w:val="BodyText"/>
    <w:link w:val="BodyTextHighlightChar"/>
    <w:uiPriority w:val="7"/>
    <w:rsid w:val="0075790A"/>
    <w:rPr>
      <w:rFonts w:asciiTheme="majorHAnsi" w:hAnsiTheme="majorHAnsi" w:cstheme="majorHAnsi"/>
      <w:b/>
      <w:color w:val="58595B" w:themeColor="text2"/>
    </w:rPr>
  </w:style>
  <w:style w:type="paragraph" w:customStyle="1" w:styleId="NormalHighlight">
    <w:name w:val="Normal Highlight"/>
    <w:basedOn w:val="Normal"/>
    <w:next w:val="Normal"/>
    <w:link w:val="NormalHighlightChar"/>
    <w:uiPriority w:val="7"/>
    <w:qFormat/>
    <w:rsid w:val="0075790A"/>
    <w:rPr>
      <w:noProof/>
      <w:color w:val="78A22F" w:themeColor="accent1"/>
    </w:rPr>
  </w:style>
  <w:style w:type="paragraph" w:customStyle="1" w:styleId="Level1">
    <w:name w:val="Level 1"/>
    <w:basedOn w:val="BodyText"/>
    <w:next w:val="BodyTextIndented1"/>
    <w:uiPriority w:val="12"/>
    <w:qFormat/>
    <w:rsid w:val="0075790A"/>
    <w:pPr>
      <w:keepNext/>
      <w:numPr>
        <w:ilvl w:val="1"/>
        <w:numId w:val="5"/>
      </w:numPr>
      <w:pBdr>
        <w:bottom w:val="single" w:sz="2" w:space="1" w:color="78A22F" w:themeColor="accent1"/>
      </w:pBdr>
      <w:spacing w:before="60" w:after="60"/>
    </w:pPr>
    <w:rPr>
      <w:rFonts w:asciiTheme="majorHAnsi" w:hAnsiTheme="majorHAnsi"/>
      <w:b/>
      <w:color w:val="78A22F" w:themeColor="accent1"/>
    </w:rPr>
  </w:style>
  <w:style w:type="paragraph" w:customStyle="1" w:styleId="Level2">
    <w:name w:val="Level 2"/>
    <w:basedOn w:val="BodyText"/>
    <w:next w:val="BodyTextIndented1"/>
    <w:uiPriority w:val="12"/>
    <w:qFormat/>
    <w:rsid w:val="0075790A"/>
    <w:pPr>
      <w:keepNext/>
      <w:numPr>
        <w:ilvl w:val="2"/>
        <w:numId w:val="5"/>
      </w:numPr>
      <w:spacing w:before="60" w:after="60"/>
    </w:pPr>
    <w:rPr>
      <w:rFonts w:asciiTheme="majorHAnsi" w:hAnsiTheme="majorHAnsi"/>
      <w:b/>
      <w:color w:val="58595B" w:themeColor="text2"/>
    </w:rPr>
  </w:style>
  <w:style w:type="paragraph" w:customStyle="1" w:styleId="Level3">
    <w:name w:val="Level 3"/>
    <w:basedOn w:val="BodyText"/>
    <w:next w:val="BodyTextIndented1"/>
    <w:uiPriority w:val="12"/>
    <w:rsid w:val="0075790A"/>
    <w:pPr>
      <w:keepNext/>
      <w:numPr>
        <w:ilvl w:val="3"/>
        <w:numId w:val="5"/>
      </w:numPr>
      <w:spacing w:before="60" w:after="60"/>
    </w:pPr>
    <w:rPr>
      <w:rFonts w:asciiTheme="majorHAnsi" w:hAnsiTheme="majorHAnsi"/>
      <w:color w:val="58595B" w:themeColor="text2"/>
    </w:rPr>
  </w:style>
  <w:style w:type="paragraph" w:customStyle="1" w:styleId="Level4">
    <w:name w:val="Level 4"/>
    <w:basedOn w:val="BodyText"/>
    <w:next w:val="BodyTextIndented1"/>
    <w:uiPriority w:val="12"/>
    <w:rsid w:val="0075790A"/>
    <w:pPr>
      <w:keepNext/>
      <w:numPr>
        <w:ilvl w:val="4"/>
        <w:numId w:val="5"/>
      </w:numPr>
      <w:spacing w:before="60" w:after="60"/>
    </w:pPr>
    <w:rPr>
      <w:rFonts w:asciiTheme="majorHAnsi" w:hAnsiTheme="majorHAnsi"/>
      <w:color w:val="58595B" w:themeColor="text2"/>
      <w:sz w:val="18"/>
    </w:rPr>
  </w:style>
  <w:style w:type="paragraph" w:customStyle="1" w:styleId="Level5">
    <w:name w:val="Level 5"/>
    <w:basedOn w:val="BodyText"/>
    <w:next w:val="BodyTextIndented1"/>
    <w:uiPriority w:val="12"/>
    <w:rsid w:val="0075790A"/>
    <w:pPr>
      <w:keepNext/>
      <w:numPr>
        <w:ilvl w:val="5"/>
        <w:numId w:val="5"/>
      </w:numPr>
      <w:spacing w:before="60" w:after="60"/>
    </w:pPr>
    <w:rPr>
      <w:rFonts w:asciiTheme="majorHAnsi" w:hAnsiTheme="majorHAnsi"/>
      <w:sz w:val="18"/>
    </w:rPr>
  </w:style>
  <w:style w:type="paragraph" w:customStyle="1" w:styleId="CoverSubtitle">
    <w:name w:val="Cover Subtitle"/>
    <w:basedOn w:val="BodyText"/>
    <w:next w:val="CoverDate"/>
    <w:uiPriority w:val="26"/>
    <w:qFormat/>
    <w:rsid w:val="0075790A"/>
    <w:pPr>
      <w:spacing w:after="360"/>
      <w:jc w:val="left"/>
    </w:pPr>
    <w:rPr>
      <w:rFonts w:asciiTheme="majorHAnsi" w:hAnsiTheme="majorHAnsi"/>
      <w:sz w:val="52"/>
    </w:rPr>
  </w:style>
  <w:style w:type="paragraph" w:customStyle="1" w:styleId="CoverFooterHeading">
    <w:name w:val="Cover Footer Heading"/>
    <w:basedOn w:val="BodyText"/>
    <w:uiPriority w:val="29"/>
    <w:rsid w:val="0075790A"/>
    <w:pPr>
      <w:spacing w:after="0" w:line="220" w:lineRule="atLeast"/>
      <w:ind w:left="397"/>
      <w:jc w:val="left"/>
    </w:pPr>
    <w:rPr>
      <w:rFonts w:asciiTheme="majorHAnsi" w:hAnsiTheme="majorHAnsi"/>
      <w:color w:val="78A22F" w:themeColor="accent1"/>
    </w:rPr>
  </w:style>
  <w:style w:type="paragraph" w:customStyle="1" w:styleId="BodyTextBold">
    <w:name w:val="Body Text Bold"/>
    <w:basedOn w:val="BodyText"/>
    <w:next w:val="BodyText"/>
    <w:link w:val="BodyTextBoldChar"/>
    <w:uiPriority w:val="1"/>
    <w:qFormat/>
    <w:rsid w:val="0075790A"/>
    <w:rPr>
      <w:b/>
      <w:noProof/>
    </w:rPr>
  </w:style>
  <w:style w:type="paragraph" w:styleId="Date">
    <w:name w:val="Date"/>
    <w:basedOn w:val="CoverDate"/>
    <w:next w:val="Heading1"/>
    <w:link w:val="DateChar"/>
    <w:uiPriority w:val="10"/>
    <w:qFormat/>
    <w:rsid w:val="0075790A"/>
    <w:pPr>
      <w:pBdr>
        <w:bottom w:val="single" w:sz="8" w:space="5" w:color="78A22F" w:themeColor="accent1"/>
      </w:pBdr>
      <w:spacing w:before="0" w:after="240"/>
    </w:pPr>
    <w:rPr>
      <w:rFonts w:asciiTheme="minorHAnsi" w:hAnsiTheme="minorHAnsi"/>
      <w:sz w:val="22"/>
    </w:rPr>
  </w:style>
  <w:style w:type="character" w:customStyle="1" w:styleId="DateChar">
    <w:name w:val="Date Char"/>
    <w:basedOn w:val="DefaultParagraphFont"/>
    <w:link w:val="Date"/>
    <w:uiPriority w:val="10"/>
    <w:rsid w:val="0075790A"/>
    <w:rPr>
      <w:sz w:val="22"/>
      <w:szCs w:val="22"/>
    </w:rPr>
  </w:style>
  <w:style w:type="paragraph" w:customStyle="1" w:styleId="Subject3">
    <w:name w:val="Subject3"/>
    <w:basedOn w:val="BodyText"/>
    <w:next w:val="BodyTextIndented2"/>
    <w:uiPriority w:val="13"/>
    <w:rsid w:val="0075790A"/>
    <w:pPr>
      <w:keepNext/>
      <w:spacing w:before="60" w:after="60"/>
    </w:pPr>
    <w:rPr>
      <w:rFonts w:asciiTheme="majorHAnsi" w:hAnsiTheme="majorHAnsi"/>
      <w:color w:val="58595B" w:themeColor="text2"/>
    </w:rPr>
  </w:style>
  <w:style w:type="paragraph" w:customStyle="1" w:styleId="Reportheader">
    <w:name w:val="Report header"/>
    <w:basedOn w:val="Header"/>
    <w:uiPriority w:val="27"/>
    <w:rsid w:val="0075790A"/>
    <w:rPr>
      <w:b/>
      <w:color w:val="78A22F" w:themeColor="accent1"/>
      <w:sz w:val="22"/>
    </w:rPr>
  </w:style>
  <w:style w:type="paragraph" w:customStyle="1" w:styleId="CoverDate">
    <w:name w:val="Cover Date"/>
    <w:basedOn w:val="Normal"/>
    <w:next w:val="BodyText"/>
    <w:uiPriority w:val="27"/>
    <w:qFormat/>
    <w:rsid w:val="0075790A"/>
    <w:pPr>
      <w:spacing w:before="120" w:after="120"/>
    </w:pPr>
    <w:rPr>
      <w:rFonts w:asciiTheme="majorHAnsi" w:hAnsiTheme="majorHAnsi"/>
      <w:sz w:val="36"/>
    </w:rPr>
  </w:style>
  <w:style w:type="paragraph" w:customStyle="1" w:styleId="NormalBold">
    <w:name w:val="Normal Bold"/>
    <w:basedOn w:val="Normal"/>
    <w:next w:val="Normal"/>
    <w:uiPriority w:val="5"/>
    <w:qFormat/>
    <w:rsid w:val="0075790A"/>
    <w:rPr>
      <w:b/>
    </w:rPr>
  </w:style>
  <w:style w:type="character" w:customStyle="1" w:styleId="NormalHighlightChar">
    <w:name w:val="Normal Highlight Char"/>
    <w:basedOn w:val="DefaultParagraphFont"/>
    <w:link w:val="NormalHighlight"/>
    <w:uiPriority w:val="7"/>
    <w:rsid w:val="0075790A"/>
    <w:rPr>
      <w:noProof/>
      <w:color w:val="78A22F" w:themeColor="accent1"/>
      <w:sz w:val="22"/>
      <w:szCs w:val="22"/>
    </w:rPr>
  </w:style>
  <w:style w:type="character" w:customStyle="1" w:styleId="BodyTextBoldChar">
    <w:name w:val="Body Text Bold Char"/>
    <w:basedOn w:val="BodyTextChar"/>
    <w:link w:val="BodyTextBold"/>
    <w:uiPriority w:val="1"/>
    <w:rsid w:val="0075790A"/>
    <w:rPr>
      <w:b/>
      <w:noProof/>
      <w:sz w:val="22"/>
      <w:szCs w:val="22"/>
    </w:rPr>
  </w:style>
  <w:style w:type="character" w:customStyle="1" w:styleId="BodyTextHighlightChar">
    <w:name w:val="Body Text Highlight Char"/>
    <w:basedOn w:val="BodyTextChar"/>
    <w:link w:val="BodyTextHighlight"/>
    <w:uiPriority w:val="7"/>
    <w:rsid w:val="0075790A"/>
    <w:rPr>
      <w:rFonts w:asciiTheme="majorHAnsi" w:hAnsiTheme="majorHAnsi" w:cstheme="majorHAnsi"/>
      <w:b/>
      <w:color w:val="58595B" w:themeColor="text2"/>
      <w:sz w:val="22"/>
      <w:szCs w:val="22"/>
    </w:rPr>
  </w:style>
  <w:style w:type="paragraph" w:customStyle="1" w:styleId="AFMEPagenumber">
    <w:name w:val="AFME Page number"/>
    <w:basedOn w:val="Footer"/>
    <w:uiPriority w:val="29"/>
    <w:qFormat/>
    <w:rsid w:val="0075790A"/>
    <w:pPr>
      <w:ind w:right="0"/>
      <w:jc w:val="right"/>
    </w:pPr>
    <w:rPr>
      <w:b/>
    </w:rPr>
  </w:style>
  <w:style w:type="paragraph" w:customStyle="1" w:styleId="AFMEFullName">
    <w:name w:val="AFME Full Name"/>
    <w:basedOn w:val="BodyTextBold"/>
    <w:uiPriority w:val="29"/>
    <w:qFormat/>
    <w:rsid w:val="0075790A"/>
    <w:pPr>
      <w:spacing w:before="400" w:after="0"/>
      <w:jc w:val="right"/>
    </w:pPr>
    <w:rPr>
      <w:sz w:val="18"/>
      <w:szCs w:val="18"/>
    </w:rPr>
  </w:style>
  <w:style w:type="paragraph" w:customStyle="1" w:styleId="AFMEContactEmail">
    <w:name w:val="AFME Contact Email"/>
    <w:basedOn w:val="NormalHighlight"/>
    <w:next w:val="Normal"/>
    <w:uiPriority w:val="28"/>
    <w:qFormat/>
    <w:rsid w:val="0075790A"/>
    <w:pPr>
      <w:spacing w:before="120" w:after="120"/>
    </w:pPr>
  </w:style>
  <w:style w:type="paragraph" w:customStyle="1" w:styleId="FooterLegal-letter">
    <w:name w:val="Footer Legal -  letter"/>
    <w:basedOn w:val="FooterOffices"/>
    <w:uiPriority w:val="29"/>
    <w:rsid w:val="0075790A"/>
    <w:pPr>
      <w:spacing w:line="180" w:lineRule="atLeast"/>
      <w:ind w:left="-794"/>
    </w:pPr>
    <w:rPr>
      <w:sz w:val="14"/>
    </w:rPr>
  </w:style>
  <w:style w:type="paragraph" w:customStyle="1" w:styleId="FooterHeading-letter">
    <w:name w:val="Footer Heading - letter"/>
    <w:basedOn w:val="FooterHeading"/>
    <w:uiPriority w:val="29"/>
    <w:qFormat/>
    <w:rsid w:val="0075790A"/>
    <w:pPr>
      <w:ind w:left="-794"/>
    </w:pPr>
  </w:style>
  <w:style w:type="paragraph" w:customStyle="1" w:styleId="FooterOffices-letter">
    <w:name w:val="Footer Offices - letter"/>
    <w:basedOn w:val="FooterOffices"/>
    <w:uiPriority w:val="29"/>
    <w:qFormat/>
    <w:rsid w:val="0075790A"/>
    <w:pPr>
      <w:ind w:left="-794"/>
    </w:pPr>
  </w:style>
  <w:style w:type="paragraph" w:customStyle="1" w:styleId="Bullets4">
    <w:name w:val="Bullets 4"/>
    <w:basedOn w:val="Bullets3"/>
    <w:uiPriority w:val="4"/>
    <w:unhideWhenUsed/>
    <w:rsid w:val="0075790A"/>
    <w:pPr>
      <w:numPr>
        <w:ilvl w:val="0"/>
        <w:numId w:val="0"/>
      </w:numPr>
      <w:tabs>
        <w:tab w:val="num" w:pos="1134"/>
      </w:tabs>
      <w:ind w:left="1134" w:hanging="283"/>
    </w:pPr>
  </w:style>
  <w:style w:type="paragraph" w:customStyle="1" w:styleId="Bullets5">
    <w:name w:val="Bullets 5"/>
    <w:basedOn w:val="Bullets4"/>
    <w:uiPriority w:val="4"/>
    <w:unhideWhenUsed/>
    <w:rsid w:val="0075790A"/>
  </w:style>
  <w:style w:type="character" w:customStyle="1" w:styleId="Mention1">
    <w:name w:val="Mention1"/>
    <w:basedOn w:val="DefaultParagraphFont"/>
    <w:uiPriority w:val="99"/>
    <w:semiHidden/>
    <w:unhideWhenUsed/>
    <w:rsid w:val="00C8378C"/>
    <w:rPr>
      <w:color w:val="2B579A"/>
      <w:shd w:val="clear" w:color="auto" w:fill="E6E6E6"/>
    </w:rPr>
  </w:style>
  <w:style w:type="character" w:styleId="CommentReference">
    <w:name w:val="annotation reference"/>
    <w:basedOn w:val="DefaultParagraphFont"/>
    <w:uiPriority w:val="99"/>
    <w:semiHidden/>
    <w:unhideWhenUsed/>
    <w:rsid w:val="0053470F"/>
    <w:rPr>
      <w:sz w:val="16"/>
      <w:szCs w:val="16"/>
    </w:rPr>
  </w:style>
  <w:style w:type="paragraph" w:styleId="CommentText">
    <w:name w:val="annotation text"/>
    <w:basedOn w:val="Normal"/>
    <w:link w:val="CommentTextChar"/>
    <w:uiPriority w:val="99"/>
    <w:semiHidden/>
    <w:unhideWhenUsed/>
    <w:rsid w:val="0053470F"/>
    <w:pPr>
      <w:spacing w:line="240" w:lineRule="auto"/>
    </w:pPr>
    <w:rPr>
      <w:sz w:val="20"/>
      <w:szCs w:val="20"/>
    </w:rPr>
  </w:style>
  <w:style w:type="character" w:customStyle="1" w:styleId="CommentTextChar">
    <w:name w:val="Comment Text Char"/>
    <w:basedOn w:val="DefaultParagraphFont"/>
    <w:link w:val="CommentText"/>
    <w:uiPriority w:val="99"/>
    <w:semiHidden/>
    <w:rsid w:val="0053470F"/>
  </w:style>
  <w:style w:type="paragraph" w:styleId="CommentSubject">
    <w:name w:val="annotation subject"/>
    <w:basedOn w:val="CommentText"/>
    <w:next w:val="CommentText"/>
    <w:link w:val="CommentSubjectChar"/>
    <w:uiPriority w:val="99"/>
    <w:semiHidden/>
    <w:unhideWhenUsed/>
    <w:rsid w:val="0053470F"/>
    <w:rPr>
      <w:b/>
      <w:bCs/>
    </w:rPr>
  </w:style>
  <w:style w:type="character" w:customStyle="1" w:styleId="CommentSubjectChar">
    <w:name w:val="Comment Subject Char"/>
    <w:basedOn w:val="CommentTextChar"/>
    <w:link w:val="CommentSubject"/>
    <w:uiPriority w:val="99"/>
    <w:semiHidden/>
    <w:rsid w:val="0053470F"/>
    <w:rPr>
      <w:b/>
      <w:bCs/>
    </w:rPr>
  </w:style>
  <w:style w:type="character" w:customStyle="1" w:styleId="UnresolvedMention1">
    <w:name w:val="Unresolved Mention1"/>
    <w:basedOn w:val="DefaultParagraphFont"/>
    <w:uiPriority w:val="99"/>
    <w:semiHidden/>
    <w:unhideWhenUsed/>
    <w:rsid w:val="003B3C39"/>
    <w:rPr>
      <w:color w:val="808080"/>
      <w:shd w:val="clear" w:color="auto" w:fill="E6E6E6"/>
    </w:rPr>
  </w:style>
  <w:style w:type="character" w:customStyle="1" w:styleId="UnresolvedMention2">
    <w:name w:val="Unresolved Mention2"/>
    <w:basedOn w:val="DefaultParagraphFont"/>
    <w:uiPriority w:val="99"/>
    <w:semiHidden/>
    <w:unhideWhenUsed/>
    <w:rsid w:val="007F441B"/>
    <w:rPr>
      <w:color w:val="808080"/>
      <w:shd w:val="clear" w:color="auto" w:fill="E6E6E6"/>
    </w:rPr>
  </w:style>
  <w:style w:type="paragraph" w:styleId="Revision">
    <w:name w:val="Revision"/>
    <w:hidden/>
    <w:uiPriority w:val="99"/>
    <w:semiHidden/>
    <w:rsid w:val="0040580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75087">
      <w:bodyDiv w:val="1"/>
      <w:marLeft w:val="0"/>
      <w:marRight w:val="0"/>
      <w:marTop w:val="0"/>
      <w:marBottom w:val="0"/>
      <w:divBdr>
        <w:top w:val="none" w:sz="0" w:space="0" w:color="auto"/>
        <w:left w:val="none" w:sz="0" w:space="0" w:color="auto"/>
        <w:bottom w:val="none" w:sz="0" w:space="0" w:color="auto"/>
        <w:right w:val="none" w:sz="0" w:space="0" w:color="auto"/>
      </w:divBdr>
    </w:div>
    <w:div w:id="57289355">
      <w:bodyDiv w:val="1"/>
      <w:marLeft w:val="0"/>
      <w:marRight w:val="0"/>
      <w:marTop w:val="0"/>
      <w:marBottom w:val="0"/>
      <w:divBdr>
        <w:top w:val="none" w:sz="0" w:space="0" w:color="auto"/>
        <w:left w:val="none" w:sz="0" w:space="0" w:color="auto"/>
        <w:bottom w:val="none" w:sz="0" w:space="0" w:color="auto"/>
        <w:right w:val="none" w:sz="0" w:space="0" w:color="auto"/>
      </w:divBdr>
    </w:div>
    <w:div w:id="177425721">
      <w:bodyDiv w:val="1"/>
      <w:marLeft w:val="0"/>
      <w:marRight w:val="0"/>
      <w:marTop w:val="0"/>
      <w:marBottom w:val="0"/>
      <w:divBdr>
        <w:top w:val="none" w:sz="0" w:space="0" w:color="auto"/>
        <w:left w:val="none" w:sz="0" w:space="0" w:color="auto"/>
        <w:bottom w:val="none" w:sz="0" w:space="0" w:color="auto"/>
        <w:right w:val="none" w:sz="0" w:space="0" w:color="auto"/>
      </w:divBdr>
    </w:div>
    <w:div w:id="182138873">
      <w:bodyDiv w:val="1"/>
      <w:marLeft w:val="0"/>
      <w:marRight w:val="0"/>
      <w:marTop w:val="0"/>
      <w:marBottom w:val="0"/>
      <w:divBdr>
        <w:top w:val="none" w:sz="0" w:space="0" w:color="auto"/>
        <w:left w:val="none" w:sz="0" w:space="0" w:color="auto"/>
        <w:bottom w:val="none" w:sz="0" w:space="0" w:color="auto"/>
        <w:right w:val="none" w:sz="0" w:space="0" w:color="auto"/>
      </w:divBdr>
    </w:div>
    <w:div w:id="233708062">
      <w:bodyDiv w:val="1"/>
      <w:marLeft w:val="0"/>
      <w:marRight w:val="0"/>
      <w:marTop w:val="0"/>
      <w:marBottom w:val="0"/>
      <w:divBdr>
        <w:top w:val="none" w:sz="0" w:space="0" w:color="auto"/>
        <w:left w:val="none" w:sz="0" w:space="0" w:color="auto"/>
        <w:bottom w:val="none" w:sz="0" w:space="0" w:color="auto"/>
        <w:right w:val="none" w:sz="0" w:space="0" w:color="auto"/>
      </w:divBdr>
    </w:div>
    <w:div w:id="237178331">
      <w:bodyDiv w:val="1"/>
      <w:marLeft w:val="0"/>
      <w:marRight w:val="0"/>
      <w:marTop w:val="0"/>
      <w:marBottom w:val="0"/>
      <w:divBdr>
        <w:top w:val="none" w:sz="0" w:space="0" w:color="auto"/>
        <w:left w:val="none" w:sz="0" w:space="0" w:color="auto"/>
        <w:bottom w:val="none" w:sz="0" w:space="0" w:color="auto"/>
        <w:right w:val="none" w:sz="0" w:space="0" w:color="auto"/>
      </w:divBdr>
    </w:div>
    <w:div w:id="263467525">
      <w:bodyDiv w:val="1"/>
      <w:marLeft w:val="0"/>
      <w:marRight w:val="0"/>
      <w:marTop w:val="0"/>
      <w:marBottom w:val="0"/>
      <w:divBdr>
        <w:top w:val="none" w:sz="0" w:space="0" w:color="auto"/>
        <w:left w:val="none" w:sz="0" w:space="0" w:color="auto"/>
        <w:bottom w:val="none" w:sz="0" w:space="0" w:color="auto"/>
        <w:right w:val="none" w:sz="0" w:space="0" w:color="auto"/>
      </w:divBdr>
    </w:div>
    <w:div w:id="272248508">
      <w:bodyDiv w:val="1"/>
      <w:marLeft w:val="0"/>
      <w:marRight w:val="0"/>
      <w:marTop w:val="0"/>
      <w:marBottom w:val="0"/>
      <w:divBdr>
        <w:top w:val="none" w:sz="0" w:space="0" w:color="auto"/>
        <w:left w:val="none" w:sz="0" w:space="0" w:color="auto"/>
        <w:bottom w:val="none" w:sz="0" w:space="0" w:color="auto"/>
        <w:right w:val="none" w:sz="0" w:space="0" w:color="auto"/>
      </w:divBdr>
    </w:div>
    <w:div w:id="275916395">
      <w:bodyDiv w:val="1"/>
      <w:marLeft w:val="0"/>
      <w:marRight w:val="0"/>
      <w:marTop w:val="0"/>
      <w:marBottom w:val="0"/>
      <w:divBdr>
        <w:top w:val="none" w:sz="0" w:space="0" w:color="auto"/>
        <w:left w:val="none" w:sz="0" w:space="0" w:color="auto"/>
        <w:bottom w:val="none" w:sz="0" w:space="0" w:color="auto"/>
        <w:right w:val="none" w:sz="0" w:space="0" w:color="auto"/>
      </w:divBdr>
    </w:div>
    <w:div w:id="339739836">
      <w:bodyDiv w:val="1"/>
      <w:marLeft w:val="0"/>
      <w:marRight w:val="0"/>
      <w:marTop w:val="0"/>
      <w:marBottom w:val="0"/>
      <w:divBdr>
        <w:top w:val="none" w:sz="0" w:space="0" w:color="auto"/>
        <w:left w:val="none" w:sz="0" w:space="0" w:color="auto"/>
        <w:bottom w:val="none" w:sz="0" w:space="0" w:color="auto"/>
        <w:right w:val="none" w:sz="0" w:space="0" w:color="auto"/>
      </w:divBdr>
    </w:div>
    <w:div w:id="350839252">
      <w:bodyDiv w:val="1"/>
      <w:marLeft w:val="0"/>
      <w:marRight w:val="0"/>
      <w:marTop w:val="0"/>
      <w:marBottom w:val="0"/>
      <w:divBdr>
        <w:top w:val="none" w:sz="0" w:space="0" w:color="auto"/>
        <w:left w:val="none" w:sz="0" w:space="0" w:color="auto"/>
        <w:bottom w:val="none" w:sz="0" w:space="0" w:color="auto"/>
        <w:right w:val="none" w:sz="0" w:space="0" w:color="auto"/>
      </w:divBdr>
    </w:div>
    <w:div w:id="395051154">
      <w:bodyDiv w:val="1"/>
      <w:marLeft w:val="0"/>
      <w:marRight w:val="0"/>
      <w:marTop w:val="0"/>
      <w:marBottom w:val="0"/>
      <w:divBdr>
        <w:top w:val="none" w:sz="0" w:space="0" w:color="auto"/>
        <w:left w:val="none" w:sz="0" w:space="0" w:color="auto"/>
        <w:bottom w:val="none" w:sz="0" w:space="0" w:color="auto"/>
        <w:right w:val="none" w:sz="0" w:space="0" w:color="auto"/>
      </w:divBdr>
    </w:div>
    <w:div w:id="460807699">
      <w:bodyDiv w:val="1"/>
      <w:marLeft w:val="0"/>
      <w:marRight w:val="0"/>
      <w:marTop w:val="0"/>
      <w:marBottom w:val="0"/>
      <w:divBdr>
        <w:top w:val="none" w:sz="0" w:space="0" w:color="auto"/>
        <w:left w:val="none" w:sz="0" w:space="0" w:color="auto"/>
        <w:bottom w:val="none" w:sz="0" w:space="0" w:color="auto"/>
        <w:right w:val="none" w:sz="0" w:space="0" w:color="auto"/>
      </w:divBdr>
    </w:div>
    <w:div w:id="676541940">
      <w:bodyDiv w:val="1"/>
      <w:marLeft w:val="0"/>
      <w:marRight w:val="0"/>
      <w:marTop w:val="0"/>
      <w:marBottom w:val="0"/>
      <w:divBdr>
        <w:top w:val="none" w:sz="0" w:space="0" w:color="auto"/>
        <w:left w:val="none" w:sz="0" w:space="0" w:color="auto"/>
        <w:bottom w:val="none" w:sz="0" w:space="0" w:color="auto"/>
        <w:right w:val="none" w:sz="0" w:space="0" w:color="auto"/>
      </w:divBdr>
    </w:div>
    <w:div w:id="705640119">
      <w:bodyDiv w:val="1"/>
      <w:marLeft w:val="0"/>
      <w:marRight w:val="0"/>
      <w:marTop w:val="0"/>
      <w:marBottom w:val="0"/>
      <w:divBdr>
        <w:top w:val="none" w:sz="0" w:space="0" w:color="auto"/>
        <w:left w:val="none" w:sz="0" w:space="0" w:color="auto"/>
        <w:bottom w:val="none" w:sz="0" w:space="0" w:color="auto"/>
        <w:right w:val="none" w:sz="0" w:space="0" w:color="auto"/>
      </w:divBdr>
    </w:div>
    <w:div w:id="711733192">
      <w:bodyDiv w:val="1"/>
      <w:marLeft w:val="0"/>
      <w:marRight w:val="0"/>
      <w:marTop w:val="0"/>
      <w:marBottom w:val="0"/>
      <w:divBdr>
        <w:top w:val="none" w:sz="0" w:space="0" w:color="auto"/>
        <w:left w:val="none" w:sz="0" w:space="0" w:color="auto"/>
        <w:bottom w:val="none" w:sz="0" w:space="0" w:color="auto"/>
        <w:right w:val="none" w:sz="0" w:space="0" w:color="auto"/>
      </w:divBdr>
    </w:div>
    <w:div w:id="840583434">
      <w:bodyDiv w:val="1"/>
      <w:marLeft w:val="0"/>
      <w:marRight w:val="0"/>
      <w:marTop w:val="0"/>
      <w:marBottom w:val="0"/>
      <w:divBdr>
        <w:top w:val="none" w:sz="0" w:space="0" w:color="auto"/>
        <w:left w:val="none" w:sz="0" w:space="0" w:color="auto"/>
        <w:bottom w:val="none" w:sz="0" w:space="0" w:color="auto"/>
        <w:right w:val="none" w:sz="0" w:space="0" w:color="auto"/>
      </w:divBdr>
    </w:div>
    <w:div w:id="845706636">
      <w:bodyDiv w:val="1"/>
      <w:marLeft w:val="0"/>
      <w:marRight w:val="0"/>
      <w:marTop w:val="0"/>
      <w:marBottom w:val="0"/>
      <w:divBdr>
        <w:top w:val="none" w:sz="0" w:space="0" w:color="auto"/>
        <w:left w:val="none" w:sz="0" w:space="0" w:color="auto"/>
        <w:bottom w:val="none" w:sz="0" w:space="0" w:color="auto"/>
        <w:right w:val="none" w:sz="0" w:space="0" w:color="auto"/>
      </w:divBdr>
    </w:div>
    <w:div w:id="851383317">
      <w:bodyDiv w:val="1"/>
      <w:marLeft w:val="0"/>
      <w:marRight w:val="0"/>
      <w:marTop w:val="0"/>
      <w:marBottom w:val="0"/>
      <w:divBdr>
        <w:top w:val="none" w:sz="0" w:space="0" w:color="auto"/>
        <w:left w:val="none" w:sz="0" w:space="0" w:color="auto"/>
        <w:bottom w:val="none" w:sz="0" w:space="0" w:color="auto"/>
        <w:right w:val="none" w:sz="0" w:space="0" w:color="auto"/>
      </w:divBdr>
    </w:div>
    <w:div w:id="970214384">
      <w:bodyDiv w:val="1"/>
      <w:marLeft w:val="0"/>
      <w:marRight w:val="0"/>
      <w:marTop w:val="0"/>
      <w:marBottom w:val="0"/>
      <w:divBdr>
        <w:top w:val="none" w:sz="0" w:space="0" w:color="auto"/>
        <w:left w:val="none" w:sz="0" w:space="0" w:color="auto"/>
        <w:bottom w:val="none" w:sz="0" w:space="0" w:color="auto"/>
        <w:right w:val="none" w:sz="0" w:space="0" w:color="auto"/>
      </w:divBdr>
    </w:div>
    <w:div w:id="1047728415">
      <w:bodyDiv w:val="1"/>
      <w:marLeft w:val="0"/>
      <w:marRight w:val="0"/>
      <w:marTop w:val="0"/>
      <w:marBottom w:val="0"/>
      <w:divBdr>
        <w:top w:val="none" w:sz="0" w:space="0" w:color="auto"/>
        <w:left w:val="none" w:sz="0" w:space="0" w:color="auto"/>
        <w:bottom w:val="none" w:sz="0" w:space="0" w:color="auto"/>
        <w:right w:val="none" w:sz="0" w:space="0" w:color="auto"/>
      </w:divBdr>
    </w:div>
    <w:div w:id="1087191000">
      <w:bodyDiv w:val="1"/>
      <w:marLeft w:val="0"/>
      <w:marRight w:val="0"/>
      <w:marTop w:val="0"/>
      <w:marBottom w:val="0"/>
      <w:divBdr>
        <w:top w:val="none" w:sz="0" w:space="0" w:color="auto"/>
        <w:left w:val="none" w:sz="0" w:space="0" w:color="auto"/>
        <w:bottom w:val="none" w:sz="0" w:space="0" w:color="auto"/>
        <w:right w:val="none" w:sz="0" w:space="0" w:color="auto"/>
      </w:divBdr>
    </w:div>
    <w:div w:id="1089231663">
      <w:bodyDiv w:val="1"/>
      <w:marLeft w:val="0"/>
      <w:marRight w:val="0"/>
      <w:marTop w:val="0"/>
      <w:marBottom w:val="0"/>
      <w:divBdr>
        <w:top w:val="none" w:sz="0" w:space="0" w:color="auto"/>
        <w:left w:val="none" w:sz="0" w:space="0" w:color="auto"/>
        <w:bottom w:val="none" w:sz="0" w:space="0" w:color="auto"/>
        <w:right w:val="none" w:sz="0" w:space="0" w:color="auto"/>
      </w:divBdr>
    </w:div>
    <w:div w:id="1229875923">
      <w:bodyDiv w:val="1"/>
      <w:marLeft w:val="0"/>
      <w:marRight w:val="0"/>
      <w:marTop w:val="0"/>
      <w:marBottom w:val="0"/>
      <w:divBdr>
        <w:top w:val="none" w:sz="0" w:space="0" w:color="auto"/>
        <w:left w:val="none" w:sz="0" w:space="0" w:color="auto"/>
        <w:bottom w:val="none" w:sz="0" w:space="0" w:color="auto"/>
        <w:right w:val="none" w:sz="0" w:space="0" w:color="auto"/>
      </w:divBdr>
    </w:div>
    <w:div w:id="1257978647">
      <w:bodyDiv w:val="1"/>
      <w:marLeft w:val="0"/>
      <w:marRight w:val="0"/>
      <w:marTop w:val="0"/>
      <w:marBottom w:val="0"/>
      <w:divBdr>
        <w:top w:val="none" w:sz="0" w:space="0" w:color="auto"/>
        <w:left w:val="none" w:sz="0" w:space="0" w:color="auto"/>
        <w:bottom w:val="none" w:sz="0" w:space="0" w:color="auto"/>
        <w:right w:val="none" w:sz="0" w:space="0" w:color="auto"/>
      </w:divBdr>
    </w:div>
    <w:div w:id="1278100686">
      <w:bodyDiv w:val="1"/>
      <w:marLeft w:val="0"/>
      <w:marRight w:val="0"/>
      <w:marTop w:val="0"/>
      <w:marBottom w:val="0"/>
      <w:divBdr>
        <w:top w:val="none" w:sz="0" w:space="0" w:color="auto"/>
        <w:left w:val="none" w:sz="0" w:space="0" w:color="auto"/>
        <w:bottom w:val="none" w:sz="0" w:space="0" w:color="auto"/>
        <w:right w:val="none" w:sz="0" w:space="0" w:color="auto"/>
      </w:divBdr>
    </w:div>
    <w:div w:id="1300498534">
      <w:bodyDiv w:val="1"/>
      <w:marLeft w:val="0"/>
      <w:marRight w:val="0"/>
      <w:marTop w:val="0"/>
      <w:marBottom w:val="0"/>
      <w:divBdr>
        <w:top w:val="none" w:sz="0" w:space="0" w:color="auto"/>
        <w:left w:val="none" w:sz="0" w:space="0" w:color="auto"/>
        <w:bottom w:val="none" w:sz="0" w:space="0" w:color="auto"/>
        <w:right w:val="none" w:sz="0" w:space="0" w:color="auto"/>
      </w:divBdr>
    </w:div>
    <w:div w:id="1317496200">
      <w:bodyDiv w:val="1"/>
      <w:marLeft w:val="0"/>
      <w:marRight w:val="0"/>
      <w:marTop w:val="0"/>
      <w:marBottom w:val="0"/>
      <w:divBdr>
        <w:top w:val="none" w:sz="0" w:space="0" w:color="auto"/>
        <w:left w:val="none" w:sz="0" w:space="0" w:color="auto"/>
        <w:bottom w:val="none" w:sz="0" w:space="0" w:color="auto"/>
        <w:right w:val="none" w:sz="0" w:space="0" w:color="auto"/>
      </w:divBdr>
    </w:div>
    <w:div w:id="1347246335">
      <w:bodyDiv w:val="1"/>
      <w:marLeft w:val="0"/>
      <w:marRight w:val="0"/>
      <w:marTop w:val="0"/>
      <w:marBottom w:val="0"/>
      <w:divBdr>
        <w:top w:val="none" w:sz="0" w:space="0" w:color="auto"/>
        <w:left w:val="none" w:sz="0" w:space="0" w:color="auto"/>
        <w:bottom w:val="none" w:sz="0" w:space="0" w:color="auto"/>
        <w:right w:val="none" w:sz="0" w:space="0" w:color="auto"/>
      </w:divBdr>
    </w:div>
    <w:div w:id="1386098154">
      <w:bodyDiv w:val="1"/>
      <w:marLeft w:val="0"/>
      <w:marRight w:val="0"/>
      <w:marTop w:val="0"/>
      <w:marBottom w:val="0"/>
      <w:divBdr>
        <w:top w:val="none" w:sz="0" w:space="0" w:color="auto"/>
        <w:left w:val="none" w:sz="0" w:space="0" w:color="auto"/>
        <w:bottom w:val="none" w:sz="0" w:space="0" w:color="auto"/>
        <w:right w:val="none" w:sz="0" w:space="0" w:color="auto"/>
      </w:divBdr>
    </w:div>
    <w:div w:id="1584879715">
      <w:bodyDiv w:val="1"/>
      <w:marLeft w:val="0"/>
      <w:marRight w:val="0"/>
      <w:marTop w:val="0"/>
      <w:marBottom w:val="0"/>
      <w:divBdr>
        <w:top w:val="none" w:sz="0" w:space="0" w:color="auto"/>
        <w:left w:val="none" w:sz="0" w:space="0" w:color="auto"/>
        <w:bottom w:val="none" w:sz="0" w:space="0" w:color="auto"/>
        <w:right w:val="none" w:sz="0" w:space="0" w:color="auto"/>
      </w:divBdr>
    </w:div>
    <w:div w:id="1603340128">
      <w:bodyDiv w:val="1"/>
      <w:marLeft w:val="0"/>
      <w:marRight w:val="0"/>
      <w:marTop w:val="0"/>
      <w:marBottom w:val="0"/>
      <w:divBdr>
        <w:top w:val="none" w:sz="0" w:space="0" w:color="auto"/>
        <w:left w:val="none" w:sz="0" w:space="0" w:color="auto"/>
        <w:bottom w:val="none" w:sz="0" w:space="0" w:color="auto"/>
        <w:right w:val="none" w:sz="0" w:space="0" w:color="auto"/>
      </w:divBdr>
    </w:div>
    <w:div w:id="1623225766">
      <w:bodyDiv w:val="1"/>
      <w:marLeft w:val="0"/>
      <w:marRight w:val="0"/>
      <w:marTop w:val="0"/>
      <w:marBottom w:val="0"/>
      <w:divBdr>
        <w:top w:val="none" w:sz="0" w:space="0" w:color="auto"/>
        <w:left w:val="none" w:sz="0" w:space="0" w:color="auto"/>
        <w:bottom w:val="none" w:sz="0" w:space="0" w:color="auto"/>
        <w:right w:val="none" w:sz="0" w:space="0" w:color="auto"/>
      </w:divBdr>
    </w:div>
    <w:div w:id="1649895480">
      <w:bodyDiv w:val="1"/>
      <w:marLeft w:val="0"/>
      <w:marRight w:val="0"/>
      <w:marTop w:val="0"/>
      <w:marBottom w:val="0"/>
      <w:divBdr>
        <w:top w:val="none" w:sz="0" w:space="0" w:color="auto"/>
        <w:left w:val="none" w:sz="0" w:space="0" w:color="auto"/>
        <w:bottom w:val="none" w:sz="0" w:space="0" w:color="auto"/>
        <w:right w:val="none" w:sz="0" w:space="0" w:color="auto"/>
      </w:divBdr>
    </w:div>
    <w:div w:id="1693722101">
      <w:bodyDiv w:val="1"/>
      <w:marLeft w:val="0"/>
      <w:marRight w:val="0"/>
      <w:marTop w:val="0"/>
      <w:marBottom w:val="0"/>
      <w:divBdr>
        <w:top w:val="none" w:sz="0" w:space="0" w:color="auto"/>
        <w:left w:val="none" w:sz="0" w:space="0" w:color="auto"/>
        <w:bottom w:val="none" w:sz="0" w:space="0" w:color="auto"/>
        <w:right w:val="none" w:sz="0" w:space="0" w:color="auto"/>
      </w:divBdr>
    </w:div>
    <w:div w:id="1725835610">
      <w:bodyDiv w:val="1"/>
      <w:marLeft w:val="0"/>
      <w:marRight w:val="0"/>
      <w:marTop w:val="0"/>
      <w:marBottom w:val="0"/>
      <w:divBdr>
        <w:top w:val="none" w:sz="0" w:space="0" w:color="auto"/>
        <w:left w:val="none" w:sz="0" w:space="0" w:color="auto"/>
        <w:bottom w:val="none" w:sz="0" w:space="0" w:color="auto"/>
        <w:right w:val="none" w:sz="0" w:space="0" w:color="auto"/>
      </w:divBdr>
    </w:div>
    <w:div w:id="1744063770">
      <w:bodyDiv w:val="1"/>
      <w:marLeft w:val="0"/>
      <w:marRight w:val="0"/>
      <w:marTop w:val="0"/>
      <w:marBottom w:val="0"/>
      <w:divBdr>
        <w:top w:val="none" w:sz="0" w:space="0" w:color="auto"/>
        <w:left w:val="none" w:sz="0" w:space="0" w:color="auto"/>
        <w:bottom w:val="none" w:sz="0" w:space="0" w:color="auto"/>
        <w:right w:val="none" w:sz="0" w:space="0" w:color="auto"/>
      </w:divBdr>
    </w:div>
    <w:div w:id="1763379322">
      <w:bodyDiv w:val="1"/>
      <w:marLeft w:val="0"/>
      <w:marRight w:val="0"/>
      <w:marTop w:val="0"/>
      <w:marBottom w:val="0"/>
      <w:divBdr>
        <w:top w:val="none" w:sz="0" w:space="0" w:color="auto"/>
        <w:left w:val="none" w:sz="0" w:space="0" w:color="auto"/>
        <w:bottom w:val="none" w:sz="0" w:space="0" w:color="auto"/>
        <w:right w:val="none" w:sz="0" w:space="0" w:color="auto"/>
      </w:divBdr>
    </w:div>
    <w:div w:id="1800368748">
      <w:bodyDiv w:val="1"/>
      <w:marLeft w:val="0"/>
      <w:marRight w:val="0"/>
      <w:marTop w:val="0"/>
      <w:marBottom w:val="0"/>
      <w:divBdr>
        <w:top w:val="none" w:sz="0" w:space="0" w:color="auto"/>
        <w:left w:val="none" w:sz="0" w:space="0" w:color="auto"/>
        <w:bottom w:val="none" w:sz="0" w:space="0" w:color="auto"/>
        <w:right w:val="none" w:sz="0" w:space="0" w:color="auto"/>
      </w:divBdr>
    </w:div>
    <w:div w:id="1804539020">
      <w:bodyDiv w:val="1"/>
      <w:marLeft w:val="0"/>
      <w:marRight w:val="0"/>
      <w:marTop w:val="0"/>
      <w:marBottom w:val="0"/>
      <w:divBdr>
        <w:top w:val="none" w:sz="0" w:space="0" w:color="auto"/>
        <w:left w:val="none" w:sz="0" w:space="0" w:color="auto"/>
        <w:bottom w:val="none" w:sz="0" w:space="0" w:color="auto"/>
        <w:right w:val="none" w:sz="0" w:space="0" w:color="auto"/>
      </w:divBdr>
    </w:div>
    <w:div w:id="1924100439">
      <w:bodyDiv w:val="1"/>
      <w:marLeft w:val="0"/>
      <w:marRight w:val="0"/>
      <w:marTop w:val="0"/>
      <w:marBottom w:val="0"/>
      <w:divBdr>
        <w:top w:val="none" w:sz="0" w:space="0" w:color="auto"/>
        <w:left w:val="none" w:sz="0" w:space="0" w:color="auto"/>
        <w:bottom w:val="none" w:sz="0" w:space="0" w:color="auto"/>
        <w:right w:val="none" w:sz="0" w:space="0" w:color="auto"/>
      </w:divBdr>
    </w:div>
    <w:div w:id="1948076592">
      <w:bodyDiv w:val="1"/>
      <w:marLeft w:val="0"/>
      <w:marRight w:val="0"/>
      <w:marTop w:val="0"/>
      <w:marBottom w:val="0"/>
      <w:divBdr>
        <w:top w:val="none" w:sz="0" w:space="0" w:color="auto"/>
        <w:left w:val="none" w:sz="0" w:space="0" w:color="auto"/>
        <w:bottom w:val="none" w:sz="0" w:space="0" w:color="auto"/>
        <w:right w:val="none" w:sz="0" w:space="0" w:color="auto"/>
      </w:divBdr>
    </w:div>
    <w:div w:id="2004967212">
      <w:bodyDiv w:val="1"/>
      <w:marLeft w:val="0"/>
      <w:marRight w:val="0"/>
      <w:marTop w:val="0"/>
      <w:marBottom w:val="0"/>
      <w:divBdr>
        <w:top w:val="none" w:sz="0" w:space="0" w:color="auto"/>
        <w:left w:val="none" w:sz="0" w:space="0" w:color="auto"/>
        <w:bottom w:val="none" w:sz="0" w:space="0" w:color="auto"/>
        <w:right w:val="none" w:sz="0" w:space="0" w:color="auto"/>
      </w:divBdr>
    </w:div>
    <w:div w:id="2027831578">
      <w:bodyDiv w:val="1"/>
      <w:marLeft w:val="0"/>
      <w:marRight w:val="0"/>
      <w:marTop w:val="0"/>
      <w:marBottom w:val="0"/>
      <w:divBdr>
        <w:top w:val="none" w:sz="0" w:space="0" w:color="auto"/>
        <w:left w:val="none" w:sz="0" w:space="0" w:color="auto"/>
        <w:bottom w:val="none" w:sz="0" w:space="0" w:color="auto"/>
        <w:right w:val="none" w:sz="0" w:space="0" w:color="auto"/>
      </w:divBdr>
    </w:div>
    <w:div w:id="203804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becca.hansford@afme.e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fme.eu/"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s>
</file>

<file path=word/theme/theme1.xml><?xml version="1.0" encoding="utf-8"?>
<a:theme xmlns:a="http://schemas.openxmlformats.org/drawingml/2006/main" name="AFME">
  <a:themeElements>
    <a:clrScheme name="AFME">
      <a:dk1>
        <a:sysClr val="windowText" lastClr="000000"/>
      </a:dk1>
      <a:lt1>
        <a:sysClr val="window" lastClr="FFFFFF"/>
      </a:lt1>
      <a:dk2>
        <a:srgbClr val="58595B"/>
      </a:dk2>
      <a:lt2>
        <a:srgbClr val="CFD0D2"/>
      </a:lt2>
      <a:accent1>
        <a:srgbClr val="78A22F"/>
      </a:accent1>
      <a:accent2>
        <a:srgbClr val="C9DAAC"/>
      </a:accent2>
      <a:accent3>
        <a:srgbClr val="CFD0D2"/>
      </a:accent3>
      <a:accent4>
        <a:srgbClr val="A7A9AC"/>
      </a:accent4>
      <a:accent5>
        <a:srgbClr val="808285"/>
      </a:accent5>
      <a:accent6>
        <a:srgbClr val="58595B"/>
      </a:accent6>
      <a:hlink>
        <a:srgbClr val="0000FF"/>
      </a:hlink>
      <a:folHlink>
        <a:srgbClr val="800080"/>
      </a:folHlink>
    </a:clrScheme>
    <a:fontScheme name="AFME">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AFME" id="{46E60531-B48E-4EE8-9BA3-C3F6A6429AB7}" vid="{DFAD1022-53B1-402F-87A4-C9D8E056B1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6F4EB-12BD-46D0-980C-6F802FA63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1796</Words>
  <Characters>10238</Characters>
  <Application>Microsoft Office Word</Application>
  <DocSecurity>0</DocSecurity>
  <Lines>85</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lpstr>
    </vt:vector>
  </TitlesOfParts>
  <Manager/>
  <Company>www.hltrad.com</Company>
  <LinksUpToDate>false</LinksUpToDate>
  <CharactersWithSpaces>12010</CharactersWithSpaces>
  <SharedDoc>false</SharedDoc>
  <HyperlinkBase>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HL TRAD</dc:creator>
  <cp:keywords> </cp:keywords>
  <dc:description> </dc:description>
  <cp:lastModifiedBy>Hansford, Rebecca</cp:lastModifiedBy>
  <cp:revision>2</cp:revision>
  <cp:lastPrinted>2019-09-20T13:43:00Z</cp:lastPrinted>
  <dcterms:created xsi:type="dcterms:W3CDTF">2019-10-11T13:21:00Z</dcterms:created>
  <dcterms:modified xsi:type="dcterms:W3CDTF">2019-10-11T13:21:00Z</dcterms:modified>
  <cp:category> </cp:category>
</cp:coreProperties>
</file>