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1814"/>
        <w:gridCol w:w="2913"/>
      </w:tblGrid>
      <w:tr w:rsidR="00DA4003" w14:paraId="1F93F705" w14:textId="77777777" w:rsidTr="00A75C11">
        <w:tc>
          <w:tcPr>
            <w:tcW w:w="2694" w:type="dxa"/>
          </w:tcPr>
          <w:p w14:paraId="06EFB6D4" w14:textId="77777777" w:rsidR="00DA4003" w:rsidRDefault="00DA4003" w:rsidP="00A75C11">
            <w:r>
              <w:rPr>
                <w:noProof/>
              </w:rPr>
              <w:drawing>
                <wp:anchor distT="0" distB="0" distL="114300" distR="114300" simplePos="0" relativeHeight="251659264" behindDoc="0" locked="0" layoutInCell="1" allowOverlap="1" wp14:anchorId="3A9F6513" wp14:editId="0FF551D6">
                  <wp:simplePos x="0" y="0"/>
                  <wp:positionH relativeFrom="page">
                    <wp:posOffset>429895</wp:posOffset>
                  </wp:positionH>
                  <wp:positionV relativeFrom="page">
                    <wp:posOffset>551815</wp:posOffset>
                  </wp:positionV>
                  <wp:extent cx="1199515" cy="476250"/>
                  <wp:effectExtent l="0" t="0" r="635" b="0"/>
                  <wp:wrapSquare wrapText="bothSides"/>
                  <wp:docPr id="9"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515" cy="4762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806" w:type="dxa"/>
            <w:gridSpan w:val="2"/>
          </w:tcPr>
          <w:p w14:paraId="35459A17" w14:textId="77777777" w:rsidR="00DA4003" w:rsidRDefault="00DA4003" w:rsidP="00A75C11"/>
          <w:p w14:paraId="4E44A5CB" w14:textId="77777777" w:rsidR="00DA4003" w:rsidRDefault="00DA4003" w:rsidP="00A75C11">
            <w:pPr>
              <w:jc w:val="center"/>
            </w:pPr>
          </w:p>
          <w:p w14:paraId="3A993F47" w14:textId="77777777" w:rsidR="00DA4003" w:rsidRDefault="00DA4003" w:rsidP="00A75C11">
            <w:pPr>
              <w:jc w:val="center"/>
            </w:pPr>
            <w:r>
              <w:rPr>
                <w:noProof/>
              </w:rPr>
              <w:drawing>
                <wp:inline distT="0" distB="0" distL="0" distR="0" wp14:anchorId="5151409A" wp14:editId="35284730">
                  <wp:extent cx="1038225" cy="419100"/>
                  <wp:effectExtent l="0" t="0" r="9525" b="0"/>
                  <wp:docPr id="10" name="Picture 10" descr="FIA"/>
                  <wp:cNvGraphicFramePr/>
                  <a:graphic xmlns:a="http://schemas.openxmlformats.org/drawingml/2006/main">
                    <a:graphicData uri="http://schemas.openxmlformats.org/drawingml/2006/picture">
                      <pic:pic xmlns:pic="http://schemas.openxmlformats.org/drawingml/2006/picture">
                        <pic:nvPicPr>
                          <pic:cNvPr id="3" name="Picture 3" descr="FI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716" cy="419298"/>
                          </a:xfrm>
                          <a:prstGeom prst="rect">
                            <a:avLst/>
                          </a:prstGeom>
                          <a:noFill/>
                          <a:ln>
                            <a:noFill/>
                          </a:ln>
                        </pic:spPr>
                      </pic:pic>
                    </a:graphicData>
                  </a:graphic>
                </wp:inline>
              </w:drawing>
            </w:r>
          </w:p>
          <w:p w14:paraId="241D5B2A" w14:textId="77777777" w:rsidR="00DA4003" w:rsidRDefault="00DA4003" w:rsidP="00A75C11">
            <w:pPr>
              <w:jc w:val="center"/>
            </w:pPr>
          </w:p>
        </w:tc>
        <w:tc>
          <w:tcPr>
            <w:tcW w:w="2913" w:type="dxa"/>
          </w:tcPr>
          <w:p w14:paraId="361CDF31" w14:textId="77777777" w:rsidR="00DA4003" w:rsidRDefault="00DA4003" w:rsidP="00A75C11">
            <w:pPr>
              <w:ind w:left="202"/>
            </w:pPr>
          </w:p>
          <w:p w14:paraId="4B01CFF6" w14:textId="38BD8D22" w:rsidR="00DA4003" w:rsidRDefault="00DA4003" w:rsidP="00A75C11">
            <w:pPr>
              <w:ind w:left="202"/>
            </w:pPr>
            <w:r>
              <w:rPr>
                <w:noProof/>
              </w:rPr>
              <w:drawing>
                <wp:inline distT="0" distB="0" distL="0" distR="0" wp14:anchorId="653FBDD9" wp14:editId="4B91670D">
                  <wp:extent cx="1364615" cy="969343"/>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449" cy="1021080"/>
                          </a:xfrm>
                          <a:prstGeom prst="rect">
                            <a:avLst/>
                          </a:prstGeom>
                          <a:noFill/>
                          <a:ln>
                            <a:noFill/>
                          </a:ln>
                        </pic:spPr>
                      </pic:pic>
                    </a:graphicData>
                  </a:graphic>
                </wp:inline>
              </w:drawing>
            </w:r>
          </w:p>
        </w:tc>
      </w:tr>
      <w:tr w:rsidR="00DA4003" w14:paraId="3CB2C94F" w14:textId="77777777" w:rsidTr="00A75C11">
        <w:trPr>
          <w:trHeight w:val="1332"/>
        </w:trPr>
        <w:tc>
          <w:tcPr>
            <w:tcW w:w="3686" w:type="dxa"/>
            <w:gridSpan w:val="2"/>
          </w:tcPr>
          <w:p w14:paraId="0A784ED1" w14:textId="6DF6A421" w:rsidR="00DA4003" w:rsidRDefault="00957B0F" w:rsidP="00A75C11">
            <w:r>
              <w:rPr>
                <w:noProof/>
              </w:rPr>
              <w:drawing>
                <wp:anchor distT="0" distB="0" distL="114300" distR="114300" simplePos="0" relativeHeight="251661312" behindDoc="0" locked="0" layoutInCell="1" allowOverlap="1" wp14:anchorId="4A745D43" wp14:editId="6448773C">
                  <wp:simplePos x="0" y="0"/>
                  <wp:positionH relativeFrom="column">
                    <wp:posOffset>663590</wp:posOffset>
                  </wp:positionH>
                  <wp:positionV relativeFrom="paragraph">
                    <wp:posOffset>224790</wp:posOffset>
                  </wp:positionV>
                  <wp:extent cx="1400175" cy="359577"/>
                  <wp:effectExtent l="0" t="0" r="0" b="2540"/>
                  <wp:wrapNone/>
                  <wp:docPr id="14" name="Picture 14" descr="C:\Users\mwatt\Desktop\IS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tt\Desktop\ISD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3595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7" w:type="dxa"/>
            <w:gridSpan w:val="2"/>
          </w:tcPr>
          <w:p w14:paraId="44744CCA" w14:textId="2A03866B" w:rsidR="00DA4003" w:rsidRDefault="00957B0F" w:rsidP="00A75C11">
            <w:r>
              <w:rPr>
                <w:noProof/>
              </w:rPr>
              <w:drawing>
                <wp:anchor distT="0" distB="0" distL="114300" distR="114300" simplePos="0" relativeHeight="251662336" behindDoc="0" locked="0" layoutInCell="1" allowOverlap="1" wp14:anchorId="58A06DB3" wp14:editId="13FE3A35">
                  <wp:simplePos x="0" y="0"/>
                  <wp:positionH relativeFrom="column">
                    <wp:posOffset>544830</wp:posOffset>
                  </wp:positionH>
                  <wp:positionV relativeFrom="paragraph">
                    <wp:posOffset>224155</wp:posOffset>
                  </wp:positionV>
                  <wp:extent cx="1062355" cy="35814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2355" cy="358140"/>
                          </a:xfrm>
                          <a:prstGeom prst="rect">
                            <a:avLst/>
                          </a:prstGeom>
                        </pic:spPr>
                      </pic:pic>
                    </a:graphicData>
                  </a:graphic>
                  <wp14:sizeRelH relativeFrom="page">
                    <wp14:pctWidth>0</wp14:pctWidth>
                  </wp14:sizeRelH>
                  <wp14:sizeRelV relativeFrom="page">
                    <wp14:pctHeight>0</wp14:pctHeight>
                  </wp14:sizeRelV>
                </wp:anchor>
              </w:drawing>
            </w:r>
          </w:p>
        </w:tc>
      </w:tr>
    </w:tbl>
    <w:p w14:paraId="31E1B311" w14:textId="3C27E7D4" w:rsidR="00DA4003" w:rsidRDefault="00DA4003" w:rsidP="00DA4003"/>
    <w:p w14:paraId="42C77BF9" w14:textId="77777777" w:rsidR="003E6CAE" w:rsidRPr="009D5B7D" w:rsidRDefault="003E6CAE" w:rsidP="00194C5C">
      <w:pPr>
        <w:spacing w:after="0" w:line="240" w:lineRule="auto"/>
        <w:rPr>
          <w:rFonts w:ascii="Times New Roman" w:eastAsia="Times New Roman" w:hAnsi="Times New Roman"/>
          <w:bCs/>
          <w:sz w:val="24"/>
          <w:szCs w:val="24"/>
        </w:rPr>
      </w:pPr>
    </w:p>
    <w:p w14:paraId="79EBE67B" w14:textId="77777777" w:rsidR="00194C5C" w:rsidRPr="009D5B7D" w:rsidRDefault="00194C5C" w:rsidP="00194C5C">
      <w:pPr>
        <w:spacing w:after="0" w:line="240" w:lineRule="auto"/>
        <w:rPr>
          <w:rFonts w:ascii="Times New Roman" w:hAnsi="Times New Roman"/>
          <w:sz w:val="24"/>
          <w:szCs w:val="24"/>
        </w:rPr>
      </w:pPr>
      <w:r w:rsidRPr="009D5B7D">
        <w:rPr>
          <w:rFonts w:ascii="Times New Roman" w:eastAsia="Times New Roman" w:hAnsi="Times New Roman"/>
          <w:bCs/>
          <w:sz w:val="24"/>
          <w:szCs w:val="24"/>
        </w:rPr>
        <w:t>NEWS RELEASE</w:t>
      </w:r>
      <w:r w:rsidRPr="009D5B7D">
        <w:rPr>
          <w:rFonts w:ascii="Times New Roman" w:hAnsi="Times New Roman"/>
          <w:sz w:val="24"/>
          <w:szCs w:val="24"/>
        </w:rPr>
        <w:t xml:space="preserve"> </w:t>
      </w:r>
      <w:r w:rsidRPr="009D5B7D">
        <w:rPr>
          <w:rFonts w:ascii="Times New Roman" w:hAnsi="Times New Roman"/>
          <w:sz w:val="24"/>
          <w:szCs w:val="24"/>
        </w:rPr>
        <w:br/>
      </w:r>
      <w:r w:rsidRPr="009D5B7D">
        <w:rPr>
          <w:rFonts w:ascii="Times New Roman" w:eastAsia="Times New Roman" w:hAnsi="Times New Roman"/>
          <w:bCs/>
          <w:sz w:val="24"/>
          <w:szCs w:val="24"/>
        </w:rPr>
        <w:t>For Immediate Release</w:t>
      </w:r>
      <w:r w:rsidRPr="009D5B7D">
        <w:rPr>
          <w:rFonts w:ascii="Times New Roman" w:hAnsi="Times New Roman"/>
          <w:sz w:val="24"/>
          <w:szCs w:val="24"/>
        </w:rPr>
        <w:t xml:space="preserve"> </w:t>
      </w:r>
    </w:p>
    <w:p w14:paraId="69F5F385" w14:textId="77777777" w:rsidR="00451678" w:rsidRPr="009D5B7D" w:rsidRDefault="00451678" w:rsidP="003F3B8A">
      <w:pPr>
        <w:spacing w:after="0" w:line="240" w:lineRule="auto"/>
        <w:rPr>
          <w:rFonts w:ascii="Times New Roman" w:eastAsia="Times New Roman" w:hAnsi="Times New Roman"/>
          <w:b/>
          <w:bCs/>
          <w:sz w:val="24"/>
          <w:szCs w:val="24"/>
        </w:rPr>
      </w:pPr>
    </w:p>
    <w:p w14:paraId="1B8C1274" w14:textId="00B6B520" w:rsidR="001C3C6B" w:rsidRPr="009D5B7D" w:rsidRDefault="001C3C6B" w:rsidP="00E8409E">
      <w:pPr>
        <w:spacing w:after="0" w:line="240" w:lineRule="auto"/>
        <w:jc w:val="center"/>
        <w:rPr>
          <w:rFonts w:ascii="Times New Roman" w:eastAsia="Times New Roman" w:hAnsi="Times New Roman"/>
          <w:b/>
          <w:bCs/>
          <w:sz w:val="28"/>
          <w:szCs w:val="28"/>
        </w:rPr>
      </w:pPr>
      <w:r w:rsidRPr="009D5B7D">
        <w:rPr>
          <w:rFonts w:ascii="Times New Roman" w:eastAsia="Times New Roman" w:hAnsi="Times New Roman"/>
          <w:b/>
          <w:bCs/>
          <w:sz w:val="28"/>
          <w:szCs w:val="28"/>
        </w:rPr>
        <w:t xml:space="preserve">AFME, </w:t>
      </w:r>
      <w:r w:rsidR="00CC5285">
        <w:rPr>
          <w:rFonts w:ascii="Times New Roman" w:eastAsia="Times New Roman" w:hAnsi="Times New Roman"/>
          <w:b/>
          <w:bCs/>
          <w:sz w:val="28"/>
          <w:szCs w:val="28"/>
        </w:rPr>
        <w:t xml:space="preserve">FIA, </w:t>
      </w:r>
      <w:r w:rsidRPr="009D5B7D">
        <w:rPr>
          <w:rFonts w:ascii="Times New Roman" w:eastAsia="Times New Roman" w:hAnsi="Times New Roman"/>
          <w:b/>
          <w:bCs/>
          <w:sz w:val="28"/>
          <w:szCs w:val="28"/>
        </w:rPr>
        <w:t>ICMA</w:t>
      </w:r>
      <w:r w:rsidR="00DA4003">
        <w:rPr>
          <w:rFonts w:ascii="Times New Roman" w:eastAsia="Times New Roman" w:hAnsi="Times New Roman"/>
          <w:b/>
          <w:bCs/>
          <w:sz w:val="28"/>
          <w:szCs w:val="28"/>
        </w:rPr>
        <w:t xml:space="preserve">, ISDA </w:t>
      </w:r>
      <w:r w:rsidR="00CC5285">
        <w:rPr>
          <w:rFonts w:ascii="Times New Roman" w:eastAsia="Times New Roman" w:hAnsi="Times New Roman"/>
          <w:b/>
          <w:bCs/>
          <w:sz w:val="28"/>
          <w:szCs w:val="28"/>
        </w:rPr>
        <w:t>and</w:t>
      </w:r>
      <w:r w:rsidRPr="009D5B7D">
        <w:rPr>
          <w:rFonts w:ascii="Times New Roman" w:eastAsia="Times New Roman" w:hAnsi="Times New Roman"/>
          <w:b/>
          <w:bCs/>
          <w:sz w:val="28"/>
          <w:szCs w:val="28"/>
        </w:rPr>
        <w:t xml:space="preserve"> </w:t>
      </w:r>
      <w:r w:rsidR="00CC5285">
        <w:rPr>
          <w:rFonts w:ascii="Times New Roman" w:eastAsia="Times New Roman" w:hAnsi="Times New Roman"/>
          <w:b/>
          <w:bCs/>
          <w:sz w:val="28"/>
          <w:szCs w:val="28"/>
        </w:rPr>
        <w:t xml:space="preserve">ISLA </w:t>
      </w:r>
      <w:r w:rsidR="001811E7">
        <w:rPr>
          <w:rFonts w:ascii="Times New Roman" w:eastAsia="Times New Roman" w:hAnsi="Times New Roman"/>
          <w:b/>
          <w:bCs/>
          <w:sz w:val="28"/>
          <w:szCs w:val="28"/>
        </w:rPr>
        <w:t>Publish</w:t>
      </w:r>
    </w:p>
    <w:p w14:paraId="67ACBD83" w14:textId="77777777" w:rsidR="00194C5C" w:rsidRPr="009D5B7D" w:rsidRDefault="00CC5285" w:rsidP="00E8409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Master Regulatory Reporting Agreement</w:t>
      </w:r>
    </w:p>
    <w:p w14:paraId="68EF2E78" w14:textId="77777777" w:rsidR="003E6CAE" w:rsidRPr="009D5B7D" w:rsidRDefault="003E6CAE" w:rsidP="00194C5C">
      <w:pPr>
        <w:autoSpaceDE w:val="0"/>
        <w:autoSpaceDN w:val="0"/>
        <w:adjustRightInd w:val="0"/>
        <w:spacing w:after="0" w:line="240" w:lineRule="auto"/>
        <w:rPr>
          <w:rFonts w:ascii="Times New Roman" w:hAnsi="Times New Roman"/>
          <w:b/>
          <w:bCs/>
          <w:sz w:val="24"/>
          <w:szCs w:val="24"/>
        </w:rPr>
      </w:pPr>
    </w:p>
    <w:p w14:paraId="3AD6904E" w14:textId="5B7B5359" w:rsidR="00CC5285" w:rsidRDefault="001C3C6B" w:rsidP="00194C5C">
      <w:pPr>
        <w:autoSpaceDE w:val="0"/>
        <w:autoSpaceDN w:val="0"/>
        <w:adjustRightInd w:val="0"/>
        <w:spacing w:after="0" w:line="240" w:lineRule="auto"/>
        <w:rPr>
          <w:rFonts w:ascii="Times New Roman" w:eastAsia="Times New Roman" w:hAnsi="Times New Roman"/>
          <w:sz w:val="24"/>
          <w:szCs w:val="24"/>
        </w:rPr>
      </w:pPr>
      <w:r w:rsidRPr="009D5B7D">
        <w:rPr>
          <w:rFonts w:ascii="Times New Roman" w:hAnsi="Times New Roman"/>
          <w:b/>
          <w:bCs/>
          <w:sz w:val="24"/>
          <w:szCs w:val="24"/>
        </w:rPr>
        <w:t>NEW YORK</w:t>
      </w:r>
      <w:r w:rsidR="001415A7">
        <w:rPr>
          <w:rFonts w:ascii="Times New Roman" w:hAnsi="Times New Roman"/>
          <w:b/>
          <w:bCs/>
          <w:sz w:val="24"/>
          <w:szCs w:val="24"/>
        </w:rPr>
        <w:t xml:space="preserve"> &amp; LONDON</w:t>
      </w:r>
      <w:r w:rsidR="00FB0FD6">
        <w:rPr>
          <w:rFonts w:ascii="Times New Roman" w:hAnsi="Times New Roman"/>
          <w:b/>
          <w:bCs/>
          <w:sz w:val="24"/>
          <w:szCs w:val="24"/>
        </w:rPr>
        <w:t>,</w:t>
      </w:r>
      <w:r w:rsidR="00194C5C" w:rsidRPr="009D5B7D">
        <w:rPr>
          <w:rFonts w:ascii="Times New Roman" w:hAnsi="Times New Roman"/>
          <w:b/>
          <w:bCs/>
          <w:sz w:val="24"/>
          <w:szCs w:val="24"/>
        </w:rPr>
        <w:t xml:space="preserve"> </w:t>
      </w:r>
      <w:r w:rsidR="00CC5285">
        <w:rPr>
          <w:rFonts w:ascii="Times New Roman" w:hAnsi="Times New Roman"/>
          <w:b/>
          <w:bCs/>
          <w:sz w:val="24"/>
          <w:szCs w:val="24"/>
        </w:rPr>
        <w:t xml:space="preserve">December </w:t>
      </w:r>
      <w:r w:rsidR="00D2034F">
        <w:rPr>
          <w:rFonts w:ascii="Times New Roman" w:hAnsi="Times New Roman"/>
          <w:b/>
          <w:bCs/>
          <w:sz w:val="24"/>
          <w:szCs w:val="24"/>
        </w:rPr>
        <w:t>19</w:t>
      </w:r>
      <w:r w:rsidR="00CC5285">
        <w:rPr>
          <w:rFonts w:ascii="Times New Roman" w:hAnsi="Times New Roman"/>
          <w:b/>
          <w:bCs/>
          <w:sz w:val="24"/>
          <w:szCs w:val="24"/>
        </w:rPr>
        <w:t>, 20</w:t>
      </w:r>
      <w:r w:rsidR="00365E69">
        <w:rPr>
          <w:rFonts w:ascii="Times New Roman" w:hAnsi="Times New Roman"/>
          <w:b/>
          <w:bCs/>
          <w:sz w:val="24"/>
          <w:szCs w:val="24"/>
        </w:rPr>
        <w:t>19</w:t>
      </w:r>
      <w:r w:rsidR="00194C5C" w:rsidRPr="009D5B7D">
        <w:rPr>
          <w:rFonts w:ascii="Times New Roman" w:eastAsia="Times New Roman" w:hAnsi="Times New Roman"/>
          <w:sz w:val="24"/>
          <w:szCs w:val="24"/>
        </w:rPr>
        <w:t xml:space="preserve"> –</w:t>
      </w:r>
      <w:r w:rsidR="00DA4003">
        <w:rPr>
          <w:rFonts w:ascii="Times New Roman" w:eastAsia="Times New Roman" w:hAnsi="Times New Roman"/>
          <w:sz w:val="24"/>
          <w:szCs w:val="24"/>
        </w:rPr>
        <w:t xml:space="preserve"> T</w:t>
      </w:r>
      <w:r w:rsidRPr="009D5B7D">
        <w:rPr>
          <w:rFonts w:ascii="Times New Roman" w:eastAsia="Times New Roman" w:hAnsi="Times New Roman"/>
          <w:sz w:val="24"/>
          <w:szCs w:val="24"/>
        </w:rPr>
        <w:t xml:space="preserve">he Association of Financial Markets in Europe (AFME), </w:t>
      </w:r>
      <w:r w:rsidR="00365E69">
        <w:rPr>
          <w:rFonts w:ascii="Times New Roman" w:eastAsia="Times New Roman" w:hAnsi="Times New Roman"/>
          <w:sz w:val="24"/>
          <w:szCs w:val="24"/>
        </w:rPr>
        <w:t>Futures Industry Association (</w:t>
      </w:r>
      <w:r w:rsidR="00CC5285">
        <w:rPr>
          <w:rFonts w:ascii="Times New Roman" w:eastAsia="Times New Roman" w:hAnsi="Times New Roman"/>
          <w:sz w:val="24"/>
          <w:szCs w:val="24"/>
        </w:rPr>
        <w:t>FIA</w:t>
      </w:r>
      <w:r w:rsidR="00365E69">
        <w:rPr>
          <w:rFonts w:ascii="Times New Roman" w:eastAsia="Times New Roman" w:hAnsi="Times New Roman"/>
          <w:sz w:val="24"/>
          <w:szCs w:val="24"/>
        </w:rPr>
        <w:t>)</w:t>
      </w:r>
      <w:r w:rsidR="00CC5285">
        <w:rPr>
          <w:rFonts w:ascii="Times New Roman" w:eastAsia="Times New Roman" w:hAnsi="Times New Roman"/>
          <w:sz w:val="24"/>
          <w:szCs w:val="24"/>
        </w:rPr>
        <w:t xml:space="preserve">, </w:t>
      </w:r>
      <w:r w:rsidRPr="009D5B7D">
        <w:rPr>
          <w:rFonts w:ascii="Times New Roman" w:eastAsia="Times New Roman" w:hAnsi="Times New Roman"/>
          <w:sz w:val="24"/>
          <w:szCs w:val="24"/>
        </w:rPr>
        <w:t>International Capital Market Association (ICMA)</w:t>
      </w:r>
      <w:r w:rsidR="00DA4003">
        <w:rPr>
          <w:rFonts w:ascii="Times New Roman" w:eastAsia="Times New Roman" w:hAnsi="Times New Roman"/>
          <w:sz w:val="24"/>
          <w:szCs w:val="24"/>
        </w:rPr>
        <w:t>,</w:t>
      </w:r>
      <w:r w:rsidRPr="009D5B7D">
        <w:rPr>
          <w:rFonts w:ascii="Times New Roman" w:eastAsia="Times New Roman" w:hAnsi="Times New Roman"/>
          <w:sz w:val="24"/>
          <w:szCs w:val="24"/>
        </w:rPr>
        <w:t xml:space="preserve"> </w:t>
      </w:r>
      <w:r w:rsidR="00DA4003" w:rsidRPr="009D5B7D">
        <w:rPr>
          <w:rFonts w:ascii="Times New Roman" w:eastAsia="Times New Roman" w:hAnsi="Times New Roman"/>
          <w:sz w:val="24"/>
          <w:szCs w:val="24"/>
        </w:rPr>
        <w:t xml:space="preserve">International Swaps and Derivatives Association, Inc. (ISDA) </w:t>
      </w:r>
      <w:r w:rsidRPr="009D5B7D">
        <w:rPr>
          <w:rFonts w:ascii="Times New Roman" w:eastAsia="Times New Roman" w:hAnsi="Times New Roman"/>
          <w:sz w:val="24"/>
          <w:szCs w:val="24"/>
        </w:rPr>
        <w:t xml:space="preserve">and </w:t>
      </w:r>
      <w:r w:rsidR="00CC5285" w:rsidRPr="00CC5285">
        <w:rPr>
          <w:rFonts w:ascii="Times New Roman" w:eastAsia="Times New Roman" w:hAnsi="Times New Roman"/>
          <w:sz w:val="24"/>
          <w:szCs w:val="24"/>
        </w:rPr>
        <w:t>International Securities Lending Association (ISLA</w:t>
      </w:r>
      <w:r w:rsidRPr="009D5B7D">
        <w:rPr>
          <w:rFonts w:ascii="Times New Roman" w:eastAsia="Times New Roman" w:hAnsi="Times New Roman"/>
          <w:sz w:val="24"/>
          <w:szCs w:val="24"/>
        </w:rPr>
        <w:t xml:space="preserve">) have </w:t>
      </w:r>
      <w:r w:rsidR="00A635D8" w:rsidRPr="009D5B7D">
        <w:rPr>
          <w:rFonts w:ascii="Times New Roman" w:eastAsia="Times New Roman" w:hAnsi="Times New Roman"/>
          <w:sz w:val="24"/>
          <w:szCs w:val="24"/>
        </w:rPr>
        <w:t xml:space="preserve">published </w:t>
      </w:r>
      <w:r w:rsidR="00CC5285">
        <w:rPr>
          <w:rFonts w:ascii="Times New Roman" w:eastAsia="Times New Roman" w:hAnsi="Times New Roman"/>
          <w:sz w:val="24"/>
          <w:szCs w:val="24"/>
        </w:rPr>
        <w:t xml:space="preserve">a </w:t>
      </w:r>
      <w:r w:rsidR="00F90AB3">
        <w:rPr>
          <w:rFonts w:ascii="Times New Roman" w:eastAsia="Times New Roman" w:hAnsi="Times New Roman"/>
          <w:sz w:val="24"/>
          <w:szCs w:val="24"/>
        </w:rPr>
        <w:t xml:space="preserve">new agreement intended to simplify </w:t>
      </w:r>
      <w:r w:rsidR="00F90AB3" w:rsidRPr="00F90AB3">
        <w:rPr>
          <w:rFonts w:ascii="Times New Roman" w:eastAsia="Times New Roman" w:hAnsi="Times New Roman"/>
          <w:sz w:val="24"/>
          <w:szCs w:val="24"/>
        </w:rPr>
        <w:t xml:space="preserve">reporting </w:t>
      </w:r>
      <w:r w:rsidR="00F90AB3">
        <w:rPr>
          <w:rFonts w:ascii="Times New Roman" w:eastAsia="Times New Roman" w:hAnsi="Times New Roman"/>
          <w:sz w:val="24"/>
          <w:szCs w:val="24"/>
        </w:rPr>
        <w:t xml:space="preserve">across different </w:t>
      </w:r>
      <w:r w:rsidR="008051F9">
        <w:rPr>
          <w:rFonts w:ascii="Times New Roman" w:eastAsia="Times New Roman" w:hAnsi="Times New Roman"/>
          <w:sz w:val="24"/>
          <w:szCs w:val="24"/>
        </w:rPr>
        <w:t xml:space="preserve">European Union </w:t>
      </w:r>
      <w:r w:rsidR="00F90AB3">
        <w:rPr>
          <w:rFonts w:ascii="Times New Roman" w:eastAsia="Times New Roman" w:hAnsi="Times New Roman"/>
          <w:sz w:val="24"/>
          <w:szCs w:val="24"/>
        </w:rPr>
        <w:t>regulatory regimes.</w:t>
      </w:r>
    </w:p>
    <w:p w14:paraId="546ACA97" w14:textId="77777777" w:rsidR="00F90AB3" w:rsidRDefault="00F90AB3" w:rsidP="00194C5C">
      <w:pPr>
        <w:autoSpaceDE w:val="0"/>
        <w:autoSpaceDN w:val="0"/>
        <w:adjustRightInd w:val="0"/>
        <w:spacing w:after="0" w:line="240" w:lineRule="auto"/>
        <w:rPr>
          <w:rFonts w:ascii="Times New Roman" w:eastAsia="Times New Roman" w:hAnsi="Times New Roman"/>
          <w:sz w:val="24"/>
          <w:szCs w:val="24"/>
        </w:rPr>
      </w:pPr>
    </w:p>
    <w:p w14:paraId="1FEADCEC" w14:textId="20AA5235" w:rsidR="00F90AB3" w:rsidRDefault="00F90AB3" w:rsidP="00194C5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Master Regulatory Reporting Agreement (MRRA) </w:t>
      </w:r>
      <w:r w:rsidR="00365E69">
        <w:rPr>
          <w:rFonts w:ascii="Times New Roman" w:eastAsia="Times New Roman" w:hAnsi="Times New Roman"/>
          <w:sz w:val="24"/>
          <w:szCs w:val="24"/>
        </w:rPr>
        <w:t>gives</w:t>
      </w:r>
      <w:r>
        <w:rPr>
          <w:rFonts w:ascii="Times New Roman" w:eastAsia="Times New Roman" w:hAnsi="Times New Roman"/>
          <w:sz w:val="24"/>
          <w:szCs w:val="24"/>
        </w:rPr>
        <w:t xml:space="preserve"> market participants </w:t>
      </w:r>
      <w:r w:rsidR="00365E69">
        <w:rPr>
          <w:rFonts w:ascii="Times New Roman" w:eastAsia="Times New Roman" w:hAnsi="Times New Roman"/>
          <w:sz w:val="24"/>
          <w:szCs w:val="24"/>
        </w:rPr>
        <w:t xml:space="preserve">an option </w:t>
      </w:r>
      <w:r>
        <w:rPr>
          <w:rFonts w:ascii="Times New Roman" w:eastAsia="Times New Roman" w:hAnsi="Times New Roman"/>
          <w:sz w:val="24"/>
          <w:szCs w:val="24"/>
        </w:rPr>
        <w:t>to use a single template</w:t>
      </w:r>
      <w:r w:rsidR="00196B8C">
        <w:rPr>
          <w:rFonts w:ascii="Times New Roman" w:eastAsia="Times New Roman" w:hAnsi="Times New Roman"/>
          <w:sz w:val="24"/>
          <w:szCs w:val="24"/>
        </w:rPr>
        <w:t xml:space="preserve"> to </w:t>
      </w:r>
      <w:r w:rsidR="00365E69">
        <w:rPr>
          <w:rFonts w:ascii="Times New Roman" w:eastAsia="Times New Roman" w:hAnsi="Times New Roman"/>
          <w:sz w:val="24"/>
          <w:szCs w:val="24"/>
        </w:rPr>
        <w:t xml:space="preserve">help them manage </w:t>
      </w:r>
      <w:r w:rsidR="00196B8C">
        <w:rPr>
          <w:rFonts w:ascii="Times New Roman" w:eastAsia="Times New Roman" w:hAnsi="Times New Roman"/>
          <w:sz w:val="24"/>
          <w:szCs w:val="24"/>
        </w:rPr>
        <w:t xml:space="preserve">regulatory obligations and provide services related to reporting under </w:t>
      </w:r>
      <w:r w:rsidR="00196B8C" w:rsidRPr="00196B8C">
        <w:rPr>
          <w:rFonts w:ascii="Times New Roman" w:eastAsia="Times New Roman" w:hAnsi="Times New Roman"/>
          <w:sz w:val="24"/>
          <w:szCs w:val="24"/>
        </w:rPr>
        <w:t>the European Market Infrastructure Regulation (EMIR) and the Securities Financing Transactions Regulation (SFTR).</w:t>
      </w:r>
      <w:r w:rsidR="00196B8C">
        <w:rPr>
          <w:rFonts w:ascii="Times New Roman" w:eastAsia="Times New Roman" w:hAnsi="Times New Roman"/>
          <w:sz w:val="24"/>
          <w:szCs w:val="24"/>
        </w:rPr>
        <w:t xml:space="preserve"> Use of a common template for all reporting relationships under the two rule sets will bring greater efficiency and consistency to the regulatory reporting process. </w:t>
      </w:r>
    </w:p>
    <w:p w14:paraId="102A09F3" w14:textId="77777777" w:rsidR="00196B8C" w:rsidRDefault="00196B8C" w:rsidP="00194C5C">
      <w:pPr>
        <w:autoSpaceDE w:val="0"/>
        <w:autoSpaceDN w:val="0"/>
        <w:adjustRightInd w:val="0"/>
        <w:spacing w:after="0" w:line="240" w:lineRule="auto"/>
        <w:rPr>
          <w:rFonts w:ascii="Times New Roman" w:eastAsia="Times New Roman" w:hAnsi="Times New Roman"/>
          <w:sz w:val="24"/>
          <w:szCs w:val="24"/>
        </w:rPr>
      </w:pPr>
    </w:p>
    <w:p w14:paraId="37CC7C4E" w14:textId="5C072D8E" w:rsidR="00196B8C" w:rsidRDefault="00196B8C" w:rsidP="00194C5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MRRA </w:t>
      </w:r>
      <w:r w:rsidR="008051F9">
        <w:rPr>
          <w:rFonts w:ascii="Times New Roman" w:eastAsia="Times New Roman" w:hAnsi="Times New Roman"/>
          <w:sz w:val="24"/>
          <w:szCs w:val="24"/>
        </w:rPr>
        <w:t xml:space="preserve">sets out common terms governing mandatory and delegated reporting </w:t>
      </w:r>
      <w:r w:rsidR="008051F9" w:rsidRPr="008051F9">
        <w:rPr>
          <w:rFonts w:ascii="Times New Roman" w:eastAsia="Times New Roman" w:hAnsi="Times New Roman"/>
          <w:sz w:val="24"/>
          <w:szCs w:val="24"/>
        </w:rPr>
        <w:t>of derivatives transactions under EMIR</w:t>
      </w:r>
      <w:r w:rsidR="008051F9">
        <w:rPr>
          <w:rFonts w:ascii="Times New Roman" w:eastAsia="Times New Roman" w:hAnsi="Times New Roman"/>
          <w:sz w:val="24"/>
          <w:szCs w:val="24"/>
        </w:rPr>
        <w:t>,</w:t>
      </w:r>
      <w:r w:rsidR="008051F9" w:rsidRPr="008051F9">
        <w:rPr>
          <w:rFonts w:ascii="Times New Roman" w:eastAsia="Times New Roman" w:hAnsi="Times New Roman"/>
          <w:sz w:val="24"/>
          <w:szCs w:val="24"/>
        </w:rPr>
        <w:t xml:space="preserve"> </w:t>
      </w:r>
      <w:r w:rsidR="008051F9">
        <w:rPr>
          <w:rFonts w:ascii="Times New Roman" w:eastAsia="Times New Roman" w:hAnsi="Times New Roman"/>
          <w:sz w:val="24"/>
          <w:szCs w:val="24"/>
        </w:rPr>
        <w:t>compatible with changes introduced via EMIR Refit, as well as</w:t>
      </w:r>
      <w:r w:rsidR="008051F9" w:rsidRPr="008051F9">
        <w:rPr>
          <w:rFonts w:ascii="Times New Roman" w:eastAsia="Times New Roman" w:hAnsi="Times New Roman"/>
          <w:sz w:val="24"/>
          <w:szCs w:val="24"/>
        </w:rPr>
        <w:t xml:space="preserve"> securities financing transactions under </w:t>
      </w:r>
      <w:r w:rsidR="00CC1B93">
        <w:rPr>
          <w:rFonts w:ascii="Times New Roman" w:eastAsia="Times New Roman" w:hAnsi="Times New Roman"/>
          <w:sz w:val="24"/>
          <w:szCs w:val="24"/>
        </w:rPr>
        <w:t xml:space="preserve">the </w:t>
      </w:r>
      <w:r w:rsidR="008051F9" w:rsidRPr="008051F9">
        <w:rPr>
          <w:rFonts w:ascii="Times New Roman" w:eastAsia="Times New Roman" w:hAnsi="Times New Roman"/>
          <w:sz w:val="24"/>
          <w:szCs w:val="24"/>
        </w:rPr>
        <w:t xml:space="preserve">SFTR. The </w:t>
      </w:r>
      <w:r w:rsidR="008051F9">
        <w:rPr>
          <w:rFonts w:ascii="Times New Roman" w:eastAsia="Times New Roman" w:hAnsi="Times New Roman"/>
          <w:sz w:val="24"/>
          <w:szCs w:val="24"/>
        </w:rPr>
        <w:t>agreement</w:t>
      </w:r>
      <w:r w:rsidR="008051F9" w:rsidRPr="008051F9">
        <w:rPr>
          <w:rFonts w:ascii="Times New Roman" w:eastAsia="Times New Roman" w:hAnsi="Times New Roman"/>
          <w:sz w:val="24"/>
          <w:szCs w:val="24"/>
        </w:rPr>
        <w:t xml:space="preserve"> has also been drafted with a view to ensuring these terms remain effective post-Brexit.</w:t>
      </w:r>
    </w:p>
    <w:p w14:paraId="3AC98BB0" w14:textId="77777777" w:rsidR="008051F9" w:rsidRDefault="008051F9" w:rsidP="00194C5C">
      <w:pPr>
        <w:autoSpaceDE w:val="0"/>
        <w:autoSpaceDN w:val="0"/>
        <w:adjustRightInd w:val="0"/>
        <w:spacing w:after="0" w:line="240" w:lineRule="auto"/>
        <w:rPr>
          <w:rFonts w:ascii="Times New Roman" w:eastAsia="Times New Roman" w:hAnsi="Times New Roman"/>
          <w:sz w:val="24"/>
          <w:szCs w:val="24"/>
        </w:rPr>
      </w:pPr>
    </w:p>
    <w:p w14:paraId="6100A020" w14:textId="332F3C31" w:rsidR="008051F9" w:rsidRDefault="008051F9" w:rsidP="00194C5C">
      <w:pPr>
        <w:autoSpaceDE w:val="0"/>
        <w:autoSpaceDN w:val="0"/>
        <w:adjustRightInd w:val="0"/>
        <w:spacing w:after="0" w:line="240" w:lineRule="auto"/>
        <w:rPr>
          <w:rFonts w:ascii="Times New Roman" w:eastAsia="Times New Roman" w:hAnsi="Times New Roman"/>
          <w:sz w:val="24"/>
          <w:szCs w:val="24"/>
        </w:rPr>
      </w:pPr>
      <w:r w:rsidRPr="008051F9">
        <w:rPr>
          <w:rFonts w:ascii="Times New Roman" w:eastAsia="Times New Roman" w:hAnsi="Times New Roman"/>
          <w:sz w:val="24"/>
          <w:szCs w:val="24"/>
        </w:rPr>
        <w:t xml:space="preserve">The MRRA was developed with the assistance of committees and working groups established by </w:t>
      </w:r>
      <w:r>
        <w:rPr>
          <w:rFonts w:ascii="Times New Roman" w:eastAsia="Times New Roman" w:hAnsi="Times New Roman"/>
          <w:sz w:val="24"/>
          <w:szCs w:val="24"/>
        </w:rPr>
        <w:t xml:space="preserve">AFME, </w:t>
      </w:r>
      <w:r w:rsidRPr="008051F9">
        <w:rPr>
          <w:rFonts w:ascii="Times New Roman" w:eastAsia="Times New Roman" w:hAnsi="Times New Roman"/>
          <w:sz w:val="24"/>
          <w:szCs w:val="24"/>
        </w:rPr>
        <w:t>FIA, ICMA</w:t>
      </w:r>
      <w:r w:rsidR="00B628FA">
        <w:rPr>
          <w:rFonts w:ascii="Times New Roman" w:eastAsia="Times New Roman" w:hAnsi="Times New Roman"/>
          <w:sz w:val="24"/>
          <w:szCs w:val="24"/>
        </w:rPr>
        <w:t>,</w:t>
      </w:r>
      <w:r>
        <w:rPr>
          <w:rFonts w:ascii="Times New Roman" w:eastAsia="Times New Roman" w:hAnsi="Times New Roman"/>
          <w:sz w:val="24"/>
          <w:szCs w:val="24"/>
        </w:rPr>
        <w:t xml:space="preserve"> </w:t>
      </w:r>
      <w:r w:rsidR="00030075" w:rsidRPr="008051F9">
        <w:rPr>
          <w:rFonts w:ascii="Times New Roman" w:eastAsia="Times New Roman" w:hAnsi="Times New Roman"/>
          <w:sz w:val="24"/>
          <w:szCs w:val="24"/>
        </w:rPr>
        <w:t xml:space="preserve">ISDA </w:t>
      </w:r>
      <w:r>
        <w:rPr>
          <w:rFonts w:ascii="Times New Roman" w:eastAsia="Times New Roman" w:hAnsi="Times New Roman"/>
          <w:sz w:val="24"/>
          <w:szCs w:val="24"/>
        </w:rPr>
        <w:t xml:space="preserve">and </w:t>
      </w:r>
      <w:r w:rsidRPr="008051F9">
        <w:rPr>
          <w:rFonts w:ascii="Times New Roman" w:eastAsia="Times New Roman" w:hAnsi="Times New Roman"/>
          <w:sz w:val="24"/>
          <w:szCs w:val="24"/>
        </w:rPr>
        <w:t>ISLA, comprising representatives from both buy- and sell-side firms with expertise in derivative</w:t>
      </w:r>
      <w:r w:rsidR="00CC1B93">
        <w:rPr>
          <w:rFonts w:ascii="Times New Roman" w:eastAsia="Times New Roman" w:hAnsi="Times New Roman"/>
          <w:sz w:val="24"/>
          <w:szCs w:val="24"/>
        </w:rPr>
        <w:t>s</w:t>
      </w:r>
      <w:r w:rsidRPr="008051F9">
        <w:rPr>
          <w:rFonts w:ascii="Times New Roman" w:eastAsia="Times New Roman" w:hAnsi="Times New Roman"/>
          <w:sz w:val="24"/>
          <w:szCs w:val="24"/>
        </w:rPr>
        <w:t xml:space="preserve"> and securities financing transactions.  </w:t>
      </w:r>
    </w:p>
    <w:p w14:paraId="700BC683" w14:textId="77777777" w:rsidR="00196B8C" w:rsidRDefault="00196B8C" w:rsidP="00194C5C">
      <w:pPr>
        <w:autoSpaceDE w:val="0"/>
        <w:autoSpaceDN w:val="0"/>
        <w:adjustRightInd w:val="0"/>
        <w:spacing w:after="0" w:line="240" w:lineRule="auto"/>
        <w:rPr>
          <w:rFonts w:ascii="Times New Roman" w:eastAsia="Times New Roman" w:hAnsi="Times New Roman"/>
          <w:sz w:val="24"/>
          <w:szCs w:val="24"/>
        </w:rPr>
      </w:pPr>
    </w:p>
    <w:p w14:paraId="2E7E3CC7" w14:textId="5F8AE442" w:rsidR="00CC1B93" w:rsidRDefault="00CC1B93" w:rsidP="00194C5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MRRA </w:t>
      </w:r>
      <w:r w:rsidR="00A14E2A">
        <w:rPr>
          <w:rFonts w:ascii="Times New Roman" w:eastAsia="Times New Roman" w:hAnsi="Times New Roman"/>
          <w:sz w:val="24"/>
          <w:szCs w:val="24"/>
        </w:rPr>
        <w:t>and a</w:t>
      </w:r>
      <w:r w:rsidR="00365E69">
        <w:rPr>
          <w:rFonts w:ascii="Times New Roman" w:eastAsia="Times New Roman" w:hAnsi="Times New Roman"/>
          <w:sz w:val="24"/>
          <w:szCs w:val="24"/>
        </w:rPr>
        <w:t>n e</w:t>
      </w:r>
      <w:r w:rsidR="00365E69" w:rsidRPr="00365E69">
        <w:rPr>
          <w:rFonts w:ascii="Times New Roman" w:eastAsia="Times New Roman" w:hAnsi="Times New Roman"/>
          <w:sz w:val="24"/>
          <w:szCs w:val="24"/>
        </w:rPr>
        <w:t xml:space="preserve">xplanatory </w:t>
      </w:r>
      <w:r w:rsidR="00365E69">
        <w:rPr>
          <w:rFonts w:ascii="Times New Roman" w:eastAsia="Times New Roman" w:hAnsi="Times New Roman"/>
          <w:sz w:val="24"/>
          <w:szCs w:val="24"/>
        </w:rPr>
        <w:t>m</w:t>
      </w:r>
      <w:r w:rsidR="00365E69" w:rsidRPr="00365E69">
        <w:rPr>
          <w:rFonts w:ascii="Times New Roman" w:eastAsia="Times New Roman" w:hAnsi="Times New Roman"/>
          <w:sz w:val="24"/>
          <w:szCs w:val="24"/>
        </w:rPr>
        <w:t xml:space="preserve">emorandum setting out the architecture and </w:t>
      </w:r>
      <w:bookmarkStart w:id="0" w:name="_GoBack"/>
      <w:bookmarkEnd w:id="0"/>
      <w:r w:rsidR="00365E69" w:rsidRPr="00365E69">
        <w:rPr>
          <w:rFonts w:ascii="Times New Roman" w:eastAsia="Times New Roman" w:hAnsi="Times New Roman"/>
          <w:sz w:val="24"/>
          <w:szCs w:val="24"/>
        </w:rPr>
        <w:t xml:space="preserve">background to the MRRA is </w:t>
      </w:r>
      <w:hyperlink r:id="rId12" w:history="1">
        <w:r w:rsidR="00365E69" w:rsidRPr="00A14E2A">
          <w:rPr>
            <w:rStyle w:val="Hyperlink"/>
            <w:rFonts w:ascii="Times New Roman" w:eastAsia="Times New Roman" w:hAnsi="Times New Roman"/>
            <w:sz w:val="24"/>
            <w:szCs w:val="24"/>
          </w:rPr>
          <w:t xml:space="preserve">available </w:t>
        </w:r>
        <w:r w:rsidR="00365E69" w:rsidRPr="00A14E2A">
          <w:rPr>
            <w:rStyle w:val="Hyperlink"/>
            <w:rFonts w:ascii="Times New Roman" w:eastAsia="Times New Roman" w:hAnsi="Times New Roman"/>
            <w:sz w:val="24"/>
            <w:szCs w:val="24"/>
          </w:rPr>
          <w:t>h</w:t>
        </w:r>
        <w:r w:rsidR="00365E69" w:rsidRPr="00A14E2A">
          <w:rPr>
            <w:rStyle w:val="Hyperlink"/>
            <w:rFonts w:ascii="Times New Roman" w:eastAsia="Times New Roman" w:hAnsi="Times New Roman"/>
            <w:sz w:val="24"/>
            <w:szCs w:val="24"/>
          </w:rPr>
          <w:t>e</w:t>
        </w:r>
        <w:r w:rsidR="00365E69" w:rsidRPr="00A14E2A">
          <w:rPr>
            <w:rStyle w:val="Hyperlink"/>
            <w:rFonts w:ascii="Times New Roman" w:eastAsia="Times New Roman" w:hAnsi="Times New Roman"/>
            <w:sz w:val="24"/>
            <w:szCs w:val="24"/>
          </w:rPr>
          <w:t>re</w:t>
        </w:r>
      </w:hyperlink>
      <w:r w:rsidR="00365E69" w:rsidRPr="00A14E2A">
        <w:rPr>
          <w:rFonts w:ascii="Times New Roman" w:eastAsia="Times New Roman" w:hAnsi="Times New Roman"/>
          <w:sz w:val="24"/>
          <w:szCs w:val="24"/>
        </w:rPr>
        <w:t>.</w:t>
      </w:r>
    </w:p>
    <w:p w14:paraId="3BEE71C3" w14:textId="77777777" w:rsidR="00196B8C" w:rsidRDefault="00196B8C" w:rsidP="00194C5C">
      <w:pPr>
        <w:autoSpaceDE w:val="0"/>
        <w:autoSpaceDN w:val="0"/>
        <w:adjustRightInd w:val="0"/>
        <w:spacing w:after="0" w:line="240" w:lineRule="auto"/>
        <w:rPr>
          <w:rFonts w:ascii="Times New Roman" w:eastAsia="Times New Roman" w:hAnsi="Times New Roman"/>
          <w:sz w:val="24"/>
          <w:szCs w:val="24"/>
        </w:rPr>
      </w:pPr>
    </w:p>
    <w:p w14:paraId="725E1BBA" w14:textId="77777777" w:rsidR="00913023" w:rsidRPr="009D5B7D" w:rsidRDefault="00913023" w:rsidP="00913023">
      <w:pPr>
        <w:pStyle w:val="Default"/>
        <w:rPr>
          <w:szCs w:val="23"/>
        </w:rPr>
      </w:pPr>
      <w:r w:rsidRPr="009D5B7D">
        <w:rPr>
          <w:b/>
          <w:bCs/>
          <w:szCs w:val="23"/>
        </w:rPr>
        <w:t xml:space="preserve">For Press Queries, Please Contact: </w:t>
      </w:r>
    </w:p>
    <w:p w14:paraId="1F5AB512" w14:textId="39B5DCF7" w:rsidR="00913023" w:rsidRPr="009D5B7D" w:rsidRDefault="008051F9" w:rsidP="00913023">
      <w:pPr>
        <w:pStyle w:val="Default"/>
        <w:rPr>
          <w:color w:val="000000" w:themeColor="text1"/>
          <w:szCs w:val="23"/>
        </w:rPr>
      </w:pPr>
      <w:r>
        <w:rPr>
          <w:color w:val="000000" w:themeColor="text1"/>
          <w:szCs w:val="23"/>
        </w:rPr>
        <w:t>Nick Sawyer, ISDA</w:t>
      </w:r>
      <w:r w:rsidR="00913023" w:rsidRPr="009D5B7D">
        <w:rPr>
          <w:color w:val="000000" w:themeColor="text1"/>
          <w:szCs w:val="23"/>
        </w:rPr>
        <w:t>, +44 20</w:t>
      </w:r>
      <w:r w:rsidR="00FB0FD6">
        <w:rPr>
          <w:color w:val="000000" w:themeColor="text1"/>
          <w:szCs w:val="23"/>
        </w:rPr>
        <w:t xml:space="preserve"> </w:t>
      </w:r>
      <w:r w:rsidR="00913023" w:rsidRPr="009D5B7D">
        <w:rPr>
          <w:color w:val="000000" w:themeColor="text1"/>
          <w:szCs w:val="23"/>
        </w:rPr>
        <w:t xml:space="preserve">3808 9740, nsawyer@isda.org </w:t>
      </w:r>
    </w:p>
    <w:p w14:paraId="75E128CF" w14:textId="77777777" w:rsidR="008051F9" w:rsidRPr="008051F9" w:rsidRDefault="008051F9" w:rsidP="008051F9">
      <w:pPr>
        <w:pStyle w:val="Default"/>
        <w:rPr>
          <w:color w:val="000000" w:themeColor="text1"/>
          <w:szCs w:val="23"/>
        </w:rPr>
      </w:pPr>
      <w:r w:rsidRPr="008051F9">
        <w:rPr>
          <w:color w:val="000000" w:themeColor="text1"/>
          <w:szCs w:val="23"/>
        </w:rPr>
        <w:t>Christopher Faimali, ISDA, +44 20 3808 9736, cfaimali@isda.org</w:t>
      </w:r>
    </w:p>
    <w:p w14:paraId="59E79305" w14:textId="66B37877" w:rsidR="000225C4" w:rsidRDefault="000225C4" w:rsidP="000225C4">
      <w:pPr>
        <w:pStyle w:val="Default"/>
        <w:rPr>
          <w:color w:val="000000" w:themeColor="text1"/>
          <w:szCs w:val="23"/>
        </w:rPr>
      </w:pPr>
      <w:r w:rsidRPr="009D5B7D">
        <w:rPr>
          <w:color w:val="000000" w:themeColor="text1"/>
          <w:szCs w:val="23"/>
        </w:rPr>
        <w:t>Rebecca Hansford, AFME, +44 20</w:t>
      </w:r>
      <w:r w:rsidR="00FB0FD6">
        <w:rPr>
          <w:color w:val="000000" w:themeColor="text1"/>
          <w:szCs w:val="23"/>
        </w:rPr>
        <w:t xml:space="preserve"> </w:t>
      </w:r>
      <w:r w:rsidRPr="009D5B7D">
        <w:rPr>
          <w:color w:val="000000" w:themeColor="text1"/>
          <w:szCs w:val="23"/>
        </w:rPr>
        <w:t xml:space="preserve">3828 2693, </w:t>
      </w:r>
      <w:r w:rsidR="00A14E2A" w:rsidRPr="00A14E2A">
        <w:rPr>
          <w:color w:val="000000" w:themeColor="text1"/>
          <w:szCs w:val="23"/>
        </w:rPr>
        <w:t>rebecca.hansford@afme.eu</w:t>
      </w:r>
    </w:p>
    <w:p w14:paraId="2400108B" w14:textId="6D96B1D4" w:rsidR="008051F9" w:rsidRPr="009D5B7D" w:rsidRDefault="008051F9" w:rsidP="000225C4">
      <w:pPr>
        <w:pStyle w:val="Default"/>
        <w:rPr>
          <w:color w:val="000000" w:themeColor="text1"/>
          <w:szCs w:val="23"/>
        </w:rPr>
      </w:pPr>
      <w:r w:rsidRPr="008051F9">
        <w:rPr>
          <w:color w:val="000000" w:themeColor="text1"/>
          <w:szCs w:val="23"/>
        </w:rPr>
        <w:t>Steven Adamske</w:t>
      </w:r>
      <w:r>
        <w:rPr>
          <w:color w:val="000000" w:themeColor="text1"/>
          <w:szCs w:val="23"/>
        </w:rPr>
        <w:t xml:space="preserve">, FIA, +1 </w:t>
      </w:r>
      <w:r w:rsidRPr="008051F9">
        <w:rPr>
          <w:color w:val="000000" w:themeColor="text1"/>
          <w:szCs w:val="23"/>
        </w:rPr>
        <w:t>202 772 3008</w:t>
      </w:r>
      <w:r w:rsidR="00365E69">
        <w:rPr>
          <w:color w:val="000000" w:themeColor="text1"/>
          <w:szCs w:val="23"/>
        </w:rPr>
        <w:t xml:space="preserve">, </w:t>
      </w:r>
      <w:r w:rsidR="00365E69" w:rsidRPr="00365E69">
        <w:rPr>
          <w:color w:val="000000" w:themeColor="text1"/>
          <w:szCs w:val="23"/>
        </w:rPr>
        <w:t>sadamske@fia.org</w:t>
      </w:r>
    </w:p>
    <w:p w14:paraId="3187634A" w14:textId="546F0F7B" w:rsidR="00913023" w:rsidRPr="009D5B7D" w:rsidRDefault="00AD6BB8" w:rsidP="00913023">
      <w:pPr>
        <w:pStyle w:val="Default"/>
        <w:rPr>
          <w:color w:val="000000" w:themeColor="text1"/>
          <w:szCs w:val="23"/>
        </w:rPr>
      </w:pPr>
      <w:r w:rsidRPr="009D5B7D">
        <w:rPr>
          <w:color w:val="000000" w:themeColor="text1"/>
          <w:szCs w:val="23"/>
        </w:rPr>
        <w:t>Allan Malvar, ICMA, +44</w:t>
      </w:r>
      <w:r w:rsidR="000225C4" w:rsidRPr="009D5B7D">
        <w:rPr>
          <w:color w:val="000000" w:themeColor="text1"/>
          <w:szCs w:val="23"/>
        </w:rPr>
        <w:t xml:space="preserve"> </w:t>
      </w:r>
      <w:r w:rsidRPr="009D5B7D">
        <w:rPr>
          <w:color w:val="000000" w:themeColor="text1"/>
          <w:szCs w:val="23"/>
        </w:rPr>
        <w:t>20</w:t>
      </w:r>
      <w:r w:rsidR="00B628FA">
        <w:rPr>
          <w:color w:val="000000" w:themeColor="text1"/>
          <w:szCs w:val="23"/>
        </w:rPr>
        <w:t xml:space="preserve"> </w:t>
      </w:r>
      <w:r w:rsidRPr="009D5B7D">
        <w:rPr>
          <w:color w:val="000000" w:themeColor="text1"/>
          <w:szCs w:val="23"/>
        </w:rPr>
        <w:t xml:space="preserve">7213 0322, </w:t>
      </w:r>
      <w:hyperlink r:id="rId13" w:history="1">
        <w:r w:rsidR="00B91C35" w:rsidRPr="009D5B7D">
          <w:rPr>
            <w:rStyle w:val="Hyperlink"/>
            <w:color w:val="000000" w:themeColor="text1"/>
            <w:szCs w:val="23"/>
            <w:u w:val="none"/>
          </w:rPr>
          <w:t>allan.malvar@icmagroup.org</w:t>
        </w:r>
      </w:hyperlink>
    </w:p>
    <w:p w14:paraId="31F8C99A" w14:textId="72F2E5DD" w:rsidR="00E70CF4" w:rsidRPr="009D5B7D" w:rsidRDefault="00E70CF4" w:rsidP="00913023">
      <w:pPr>
        <w:pStyle w:val="Default"/>
        <w:rPr>
          <w:rStyle w:val="Hyperlink"/>
          <w:color w:val="000000" w:themeColor="text1"/>
          <w:szCs w:val="23"/>
          <w:u w:val="none"/>
        </w:rPr>
      </w:pPr>
      <w:r w:rsidRPr="009D5B7D">
        <w:rPr>
          <w:color w:val="000000" w:themeColor="text1"/>
          <w:szCs w:val="23"/>
        </w:rPr>
        <w:t>Margaret Wilkinson, ICMA, +44 20</w:t>
      </w:r>
      <w:r w:rsidR="00FB0FD6">
        <w:rPr>
          <w:color w:val="000000" w:themeColor="text1"/>
          <w:szCs w:val="23"/>
        </w:rPr>
        <w:t xml:space="preserve"> </w:t>
      </w:r>
      <w:r w:rsidRPr="009D5B7D">
        <w:rPr>
          <w:color w:val="000000" w:themeColor="text1"/>
          <w:szCs w:val="23"/>
        </w:rPr>
        <w:t xml:space="preserve">7213 0323, </w:t>
      </w:r>
      <w:hyperlink r:id="rId14" w:history="1">
        <w:r w:rsidRPr="009D5B7D">
          <w:rPr>
            <w:rStyle w:val="Hyperlink"/>
            <w:color w:val="000000" w:themeColor="text1"/>
            <w:szCs w:val="23"/>
            <w:u w:val="none"/>
          </w:rPr>
          <w:t>margaret.wilkinson@icmagroup.org</w:t>
        </w:r>
      </w:hyperlink>
    </w:p>
    <w:p w14:paraId="305AE9DF" w14:textId="395A2488" w:rsidR="002D15F0" w:rsidRPr="008C384B" w:rsidRDefault="008C384B" w:rsidP="001A2955">
      <w:pPr>
        <w:pStyle w:val="Default"/>
        <w:rPr>
          <w:bCs/>
          <w:szCs w:val="23"/>
        </w:rPr>
      </w:pPr>
      <w:r w:rsidRPr="008C384B">
        <w:rPr>
          <w:bCs/>
          <w:szCs w:val="23"/>
        </w:rPr>
        <w:t>Sejal Amin</w:t>
      </w:r>
      <w:r>
        <w:rPr>
          <w:bCs/>
          <w:szCs w:val="23"/>
        </w:rPr>
        <w:t xml:space="preserve">, ISLA, </w:t>
      </w:r>
      <w:r w:rsidR="00276E71" w:rsidRPr="00276E71">
        <w:rPr>
          <w:bCs/>
          <w:szCs w:val="23"/>
        </w:rPr>
        <w:t>+44 20</w:t>
      </w:r>
      <w:r w:rsidR="00FB0FD6">
        <w:rPr>
          <w:bCs/>
          <w:szCs w:val="23"/>
        </w:rPr>
        <w:t xml:space="preserve"> 3</w:t>
      </w:r>
      <w:r w:rsidR="00276E71" w:rsidRPr="00276E71">
        <w:rPr>
          <w:bCs/>
          <w:szCs w:val="23"/>
        </w:rPr>
        <w:t>786 2367</w:t>
      </w:r>
      <w:r w:rsidR="00276E71">
        <w:rPr>
          <w:bCs/>
          <w:szCs w:val="23"/>
        </w:rPr>
        <w:t>, sejal.amin@isla.co.uk</w:t>
      </w:r>
    </w:p>
    <w:p w14:paraId="2ACACA15" w14:textId="77777777" w:rsidR="002D15F0" w:rsidRDefault="002D15F0" w:rsidP="001A2955">
      <w:pPr>
        <w:pStyle w:val="Default"/>
        <w:rPr>
          <w:b/>
          <w:bCs/>
          <w:szCs w:val="23"/>
        </w:rPr>
      </w:pPr>
    </w:p>
    <w:p w14:paraId="40B758B4" w14:textId="77777777" w:rsidR="00913023" w:rsidRPr="009D5B7D" w:rsidRDefault="00913023" w:rsidP="001A2955">
      <w:pPr>
        <w:pStyle w:val="Default"/>
        <w:rPr>
          <w:szCs w:val="23"/>
        </w:rPr>
      </w:pPr>
      <w:r w:rsidRPr="009D5B7D">
        <w:rPr>
          <w:b/>
          <w:bCs/>
          <w:szCs w:val="23"/>
        </w:rPr>
        <w:t xml:space="preserve">About ISDA </w:t>
      </w:r>
    </w:p>
    <w:p w14:paraId="54D2B965" w14:textId="77777777" w:rsidR="000F0DE6" w:rsidRPr="000F0DE6" w:rsidRDefault="000F0DE6" w:rsidP="000F0DE6">
      <w:pPr>
        <w:pStyle w:val="Default"/>
        <w:rPr>
          <w:szCs w:val="23"/>
        </w:rPr>
      </w:pPr>
      <w:r w:rsidRPr="000F0DE6">
        <w:rPr>
          <w:szCs w:val="23"/>
        </w:rPr>
        <w:t>Since 1985, ISDA has worked to make the global derivatives markets safer and more efficient. Today, ISDA has more than 900 member institutions from 71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@ISDA.</w:t>
      </w:r>
    </w:p>
    <w:p w14:paraId="331F46E3" w14:textId="77777777" w:rsidR="000F0DE6" w:rsidRPr="000F0DE6" w:rsidRDefault="000F0DE6" w:rsidP="000F0DE6">
      <w:pPr>
        <w:pStyle w:val="Default"/>
        <w:rPr>
          <w:szCs w:val="23"/>
        </w:rPr>
      </w:pPr>
    </w:p>
    <w:p w14:paraId="51EF3B38" w14:textId="77777777" w:rsidR="000225C4" w:rsidRDefault="000F0DE6" w:rsidP="000F0DE6">
      <w:pPr>
        <w:pStyle w:val="Default"/>
        <w:rPr>
          <w:szCs w:val="23"/>
        </w:rPr>
      </w:pPr>
      <w:r w:rsidRPr="000F0DE6">
        <w:rPr>
          <w:szCs w:val="23"/>
        </w:rPr>
        <w:t>ISDA® is a registered trademark of the International Swaps and Derivatives Association, Inc.</w:t>
      </w:r>
    </w:p>
    <w:p w14:paraId="61BFBB7E" w14:textId="77777777" w:rsidR="000F0DE6" w:rsidRPr="009D5B7D" w:rsidRDefault="000F0DE6" w:rsidP="000F0DE6">
      <w:pPr>
        <w:pStyle w:val="Default"/>
        <w:rPr>
          <w:szCs w:val="23"/>
        </w:rPr>
      </w:pPr>
    </w:p>
    <w:p w14:paraId="1388BD0C" w14:textId="77777777" w:rsidR="00802546" w:rsidRPr="009D5B7D" w:rsidRDefault="00802546" w:rsidP="00802546">
      <w:pPr>
        <w:spacing w:after="0" w:line="240" w:lineRule="auto"/>
        <w:rPr>
          <w:rFonts w:ascii="Times New Roman" w:hAnsi="Times New Roman"/>
          <w:b/>
          <w:iCs/>
          <w:color w:val="000000" w:themeColor="text1"/>
          <w:sz w:val="24"/>
          <w:szCs w:val="24"/>
        </w:rPr>
      </w:pPr>
      <w:r w:rsidRPr="009D5B7D">
        <w:rPr>
          <w:rFonts w:ascii="Times New Roman" w:hAnsi="Times New Roman"/>
          <w:b/>
          <w:iCs/>
          <w:color w:val="000000" w:themeColor="text1"/>
          <w:sz w:val="24"/>
          <w:szCs w:val="24"/>
        </w:rPr>
        <w:t>About AFME</w:t>
      </w:r>
    </w:p>
    <w:p w14:paraId="7FC93AE4" w14:textId="207B14CF" w:rsidR="00802546" w:rsidRPr="009D5B7D" w:rsidRDefault="00802546" w:rsidP="00802546">
      <w:pPr>
        <w:spacing w:after="0" w:line="240" w:lineRule="auto"/>
        <w:rPr>
          <w:rFonts w:ascii="Times New Roman" w:eastAsia="Calibri" w:hAnsi="Times New Roman"/>
          <w:color w:val="000000" w:themeColor="text1"/>
          <w:sz w:val="24"/>
          <w:lang w:eastAsia="en-GB"/>
        </w:rPr>
      </w:pPr>
      <w:r w:rsidRPr="009D5B7D">
        <w:rPr>
          <w:rFonts w:ascii="Times New Roman" w:eastAsia="Calibri" w:hAnsi="Times New Roman"/>
          <w:color w:val="000000" w:themeColor="text1"/>
          <w:sz w:val="24"/>
          <w:lang w:eastAsia="en-GB"/>
        </w:rPr>
        <w:t xml:space="preserve">AFME (Association for Financial Markets in Europe) advocates for deep and integrated European capital markets </w:t>
      </w:r>
      <w:r w:rsidR="00B628FA">
        <w:rPr>
          <w:rFonts w:ascii="Times New Roman" w:eastAsia="Calibri" w:hAnsi="Times New Roman"/>
          <w:color w:val="000000" w:themeColor="text1"/>
          <w:sz w:val="24"/>
          <w:lang w:eastAsia="en-GB"/>
        </w:rPr>
        <w:t>that</w:t>
      </w:r>
      <w:r w:rsidRPr="009D5B7D">
        <w:rPr>
          <w:rFonts w:ascii="Times New Roman" w:eastAsia="Calibri" w:hAnsi="Times New Roman"/>
          <w:color w:val="000000" w:themeColor="text1"/>
          <w:sz w:val="24"/>
          <w:lang w:eastAsia="en-GB"/>
        </w:rPr>
        <w:t xml:space="preserve">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15" w:history="1">
        <w:r w:rsidRPr="009D5B7D">
          <w:rPr>
            <w:rFonts w:ascii="Times New Roman" w:eastAsia="Calibri" w:hAnsi="Times New Roman"/>
            <w:color w:val="000000" w:themeColor="text1"/>
            <w:sz w:val="24"/>
            <w:lang w:eastAsia="en-GB"/>
          </w:rPr>
          <w:t>www.afme.eu</w:t>
        </w:r>
      </w:hyperlink>
      <w:r w:rsidRPr="009D5B7D">
        <w:rPr>
          <w:rFonts w:ascii="Times New Roman" w:eastAsia="Calibri" w:hAnsi="Times New Roman"/>
          <w:color w:val="000000" w:themeColor="text1"/>
          <w:sz w:val="24"/>
          <w:lang w:eastAsia="en-GB"/>
        </w:rPr>
        <w:t xml:space="preserve">. Follow us on Twitter @AFME_EU </w:t>
      </w:r>
    </w:p>
    <w:p w14:paraId="65E52C3F" w14:textId="77777777" w:rsidR="00802546" w:rsidRPr="009D5B7D" w:rsidRDefault="00802546" w:rsidP="001A2955">
      <w:pPr>
        <w:pStyle w:val="Default"/>
        <w:rPr>
          <w:b/>
          <w:szCs w:val="23"/>
        </w:rPr>
      </w:pPr>
    </w:p>
    <w:p w14:paraId="23DF4AA0" w14:textId="77777777" w:rsidR="0026508D" w:rsidRPr="0026508D" w:rsidRDefault="0026508D" w:rsidP="0026508D">
      <w:pPr>
        <w:pStyle w:val="Default"/>
        <w:rPr>
          <w:b/>
          <w:szCs w:val="23"/>
        </w:rPr>
      </w:pPr>
      <w:r w:rsidRPr="0026508D">
        <w:rPr>
          <w:b/>
          <w:szCs w:val="23"/>
        </w:rPr>
        <w:t>About FIA</w:t>
      </w:r>
    </w:p>
    <w:p w14:paraId="483E9884" w14:textId="77777777" w:rsidR="0026508D" w:rsidRPr="0026508D" w:rsidRDefault="0026508D" w:rsidP="0026508D">
      <w:pPr>
        <w:pStyle w:val="Default"/>
        <w:rPr>
          <w:szCs w:val="23"/>
        </w:rPr>
      </w:pPr>
      <w:r w:rsidRPr="0026508D">
        <w:rPr>
          <w:szCs w:val="23"/>
        </w:rPr>
        <w:t>FIA is the leading global trade organization for the futures, options and centrally cleared derivatives markets, with offices in Brussels, London, Singapore and Washington, D.C. FIA’s membership includes clearing firms, exchanges, clearinghouses, trading firms and commodities specialists from more than 48 countries as well as technology vendors, lawyers and other professionals serving the industry. FIA’s mission is to support open, transparent and competitive markets, protect and enhance the integrity of the financial system, and promote high standards of professional conduct. As the principal members of derivatives clearinghouses worldwide, FIA’s member firms play a critical role in the reduction of systemic risk in global financial markets.</w:t>
      </w:r>
    </w:p>
    <w:p w14:paraId="246DE93B" w14:textId="77777777" w:rsidR="0026508D" w:rsidRPr="0026508D" w:rsidRDefault="0026508D" w:rsidP="0026508D">
      <w:pPr>
        <w:pStyle w:val="Default"/>
        <w:rPr>
          <w:szCs w:val="23"/>
        </w:rPr>
      </w:pPr>
    </w:p>
    <w:p w14:paraId="279937C7" w14:textId="77777777" w:rsidR="00E70CF4" w:rsidRPr="009D5B7D" w:rsidRDefault="00E70CF4" w:rsidP="0026508D">
      <w:pPr>
        <w:pStyle w:val="Default"/>
        <w:rPr>
          <w:b/>
          <w:szCs w:val="23"/>
        </w:rPr>
      </w:pPr>
      <w:r w:rsidRPr="009D5B7D">
        <w:rPr>
          <w:b/>
          <w:szCs w:val="23"/>
        </w:rPr>
        <w:t>About ICMA</w:t>
      </w:r>
    </w:p>
    <w:p w14:paraId="3BFDA1BD" w14:textId="1AF7E276" w:rsidR="00E70CF4" w:rsidRPr="009D5B7D" w:rsidRDefault="00E70CF4" w:rsidP="001A2955">
      <w:pPr>
        <w:spacing w:after="0" w:line="240" w:lineRule="auto"/>
        <w:rPr>
          <w:rFonts w:ascii="Times New Roman" w:eastAsia="Times New Roman" w:hAnsi="Times New Roman"/>
          <w:color w:val="000000" w:themeColor="text1"/>
          <w:sz w:val="24"/>
          <w:szCs w:val="23"/>
        </w:rPr>
      </w:pPr>
      <w:r w:rsidRPr="009D5B7D">
        <w:rPr>
          <w:rFonts w:ascii="Times New Roman" w:eastAsia="Times New Roman" w:hAnsi="Times New Roman"/>
          <w:color w:val="000000"/>
          <w:sz w:val="24"/>
          <w:szCs w:val="23"/>
        </w:rPr>
        <w:t>ICMA is the trade association for the international capital market with over 5</w:t>
      </w:r>
      <w:r w:rsidR="001415A7">
        <w:rPr>
          <w:rFonts w:ascii="Times New Roman" w:eastAsia="Times New Roman" w:hAnsi="Times New Roman"/>
          <w:color w:val="000000"/>
          <w:sz w:val="24"/>
          <w:szCs w:val="23"/>
        </w:rPr>
        <w:t>80</w:t>
      </w:r>
      <w:r w:rsidRPr="009D5B7D">
        <w:rPr>
          <w:rFonts w:ascii="Times New Roman" w:eastAsia="Times New Roman" w:hAnsi="Times New Roman"/>
          <w:color w:val="000000"/>
          <w:sz w:val="24"/>
          <w:szCs w:val="23"/>
        </w:rPr>
        <w:t xml:space="preserve"> member firms from 60 countries, including banks, issuers, asset managers, infrastructure providers and law firms. It performs a crucial central role in the market by providing industry-driven standards and recommendations for issuance, trading and settlement in international fixed income and related instruments. ICMA liaises closely with regulatory and governmental authorities, both at the national and supranational level, helping to ensure that financial regulation promotes the efficiency and cost effectiveness of the capital market. </w:t>
      </w:r>
      <w:hyperlink r:id="rId16" w:history="1">
        <w:r w:rsidRPr="009D5B7D">
          <w:rPr>
            <w:rStyle w:val="Hyperlink"/>
            <w:rFonts w:ascii="Times New Roman" w:eastAsia="Times New Roman" w:hAnsi="Times New Roman"/>
            <w:color w:val="000000" w:themeColor="text1"/>
            <w:sz w:val="24"/>
            <w:szCs w:val="23"/>
            <w:u w:val="none"/>
          </w:rPr>
          <w:t>www.icmagroup.org</w:t>
        </w:r>
      </w:hyperlink>
    </w:p>
    <w:p w14:paraId="0C329E57" w14:textId="77777777" w:rsidR="001A2955" w:rsidRPr="009D5B7D" w:rsidRDefault="001A2955" w:rsidP="001A2955">
      <w:pPr>
        <w:spacing w:after="0" w:line="240" w:lineRule="auto"/>
        <w:rPr>
          <w:rFonts w:ascii="Times New Roman" w:hAnsi="Times New Roman"/>
          <w:b/>
          <w:iCs/>
          <w:color w:val="000000" w:themeColor="text1"/>
          <w:sz w:val="24"/>
          <w:szCs w:val="24"/>
        </w:rPr>
      </w:pPr>
    </w:p>
    <w:p w14:paraId="0CF11872" w14:textId="68D2622E" w:rsidR="00072F32" w:rsidRPr="003F7E0B" w:rsidRDefault="003F7E0B" w:rsidP="003F7E0B">
      <w:pPr>
        <w:pStyle w:val="NoSpacing"/>
        <w:rPr>
          <w:rFonts w:ascii="Times New Roman" w:hAnsi="Times New Roman"/>
          <w:b/>
          <w:sz w:val="24"/>
        </w:rPr>
      </w:pPr>
      <w:r w:rsidRPr="003F7E0B">
        <w:rPr>
          <w:rFonts w:ascii="Times New Roman" w:hAnsi="Times New Roman"/>
          <w:b/>
          <w:sz w:val="24"/>
        </w:rPr>
        <w:t>About ISLA</w:t>
      </w:r>
    </w:p>
    <w:p w14:paraId="6A0D6CB4" w14:textId="4C2DF298" w:rsidR="003F7E0B" w:rsidRPr="003F7E0B" w:rsidRDefault="003F7E0B" w:rsidP="003F7E0B">
      <w:pPr>
        <w:pStyle w:val="NoSpacing"/>
        <w:rPr>
          <w:rFonts w:ascii="Times New Roman" w:hAnsi="Times New Roman"/>
          <w:sz w:val="24"/>
        </w:rPr>
      </w:pPr>
      <w:r w:rsidRPr="003F7E0B">
        <w:rPr>
          <w:rFonts w:ascii="Times New Roman" w:hAnsi="Times New Roman"/>
          <w:sz w:val="24"/>
        </w:rPr>
        <w:t>International Securities Lending Association (ISLA) is a leading industry association, representing the common interests of securities lending and financing market participants across Eur</w:t>
      </w:r>
      <w:r w:rsidR="00FB0FD6">
        <w:rPr>
          <w:rFonts w:ascii="Times New Roman" w:hAnsi="Times New Roman"/>
          <w:sz w:val="24"/>
        </w:rPr>
        <w:t>ope, Middle East and Africa. It</w:t>
      </w:r>
      <w:r w:rsidRPr="003F7E0B">
        <w:rPr>
          <w:rFonts w:ascii="Times New Roman" w:hAnsi="Times New Roman"/>
          <w:sz w:val="24"/>
        </w:rPr>
        <w:t>s geographically diverse membership of over 160 firms, includes institutional investors, asset managers, custodial banks, prime brokers and service providers. Working closely with the global industry as well as regulators and policy</w:t>
      </w:r>
      <w:r w:rsidR="00B628FA">
        <w:rPr>
          <w:rFonts w:ascii="Times New Roman" w:hAnsi="Times New Roman"/>
          <w:sz w:val="24"/>
        </w:rPr>
        <w:t xml:space="preserve"> </w:t>
      </w:r>
      <w:r w:rsidRPr="003F7E0B">
        <w:rPr>
          <w:rFonts w:ascii="Times New Roman" w:hAnsi="Times New Roman"/>
          <w:sz w:val="24"/>
        </w:rPr>
        <w:t>makers, ISLA advocates the importance of securities lending to the broader financial services industry. ISLA supports the development of a safe and efficient framework for the industry, by playing a pivotal role in promoting market best practice, amongst other things. ISLA sponsors the Global Market Securities Lending Agreement (GMSLA) and the annual enforceability review in over 20 jurisdictions globally. Through member working groups, industry guidance, consultations and first-class events and education, ISLA helps to steer the direction of the industry and is one of its most influential voices on the European and global stage.</w:t>
      </w:r>
    </w:p>
    <w:sectPr w:rsidR="003F7E0B" w:rsidRPr="003F7E0B" w:rsidSect="00EE3A39">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3E23" w14:textId="77777777" w:rsidR="00A91F12" w:rsidRDefault="00A91F12" w:rsidP="00E643B2">
      <w:pPr>
        <w:spacing w:after="0" w:line="240" w:lineRule="auto"/>
      </w:pPr>
      <w:r>
        <w:separator/>
      </w:r>
    </w:p>
  </w:endnote>
  <w:endnote w:type="continuationSeparator" w:id="0">
    <w:p w14:paraId="5B5A37A5" w14:textId="77777777" w:rsidR="00A91F12" w:rsidRDefault="00A91F12" w:rsidP="00E6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uzeitGroLig">
    <w:altName w:val="NeuzeitGroLig"/>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20D1" w14:textId="77777777" w:rsidR="00A91F12" w:rsidRDefault="00A91F12" w:rsidP="00E643B2">
      <w:pPr>
        <w:spacing w:after="0" w:line="240" w:lineRule="auto"/>
      </w:pPr>
      <w:r>
        <w:separator/>
      </w:r>
    </w:p>
  </w:footnote>
  <w:footnote w:type="continuationSeparator" w:id="0">
    <w:p w14:paraId="6A952AF5" w14:textId="77777777" w:rsidR="00A91F12" w:rsidRDefault="00A91F12" w:rsidP="00E6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49240"/>
      <w:docPartObj>
        <w:docPartGallery w:val="Page Numbers (Top of Page)"/>
        <w:docPartUnique/>
      </w:docPartObj>
    </w:sdtPr>
    <w:sdtEndPr>
      <w:rPr>
        <w:noProof/>
      </w:rPr>
    </w:sdtEndPr>
    <w:sdtContent>
      <w:p w14:paraId="11B5ED31" w14:textId="0E0448D4" w:rsidR="00083CFD" w:rsidRDefault="00526046">
        <w:pPr>
          <w:pStyle w:val="Header"/>
          <w:jc w:val="center"/>
        </w:pPr>
        <w:r>
          <w:fldChar w:fldCharType="begin"/>
        </w:r>
        <w:r w:rsidR="00083CFD">
          <w:instrText xml:space="preserve"> PAGE   \* MERGEFORMAT </w:instrText>
        </w:r>
        <w:r>
          <w:fldChar w:fldCharType="separate"/>
        </w:r>
        <w:r w:rsidR="009A1BCF">
          <w:rPr>
            <w:noProof/>
          </w:rPr>
          <w:t>3</w:t>
        </w:r>
        <w:r>
          <w:rPr>
            <w:noProof/>
          </w:rPr>
          <w:fldChar w:fldCharType="end"/>
        </w:r>
      </w:p>
    </w:sdtContent>
  </w:sdt>
  <w:p w14:paraId="0B591B24" w14:textId="77777777" w:rsidR="00E643B2" w:rsidRDefault="00E6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8CE"/>
    <w:multiLevelType w:val="hybridMultilevel"/>
    <w:tmpl w:val="18DC0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2921FE3"/>
    <w:multiLevelType w:val="hybridMultilevel"/>
    <w:tmpl w:val="DE1A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C1A"/>
    <w:multiLevelType w:val="hybridMultilevel"/>
    <w:tmpl w:val="A91C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64DD"/>
    <w:multiLevelType w:val="hybridMultilevel"/>
    <w:tmpl w:val="FC866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0522298"/>
    <w:multiLevelType w:val="hybridMultilevel"/>
    <w:tmpl w:val="B6D80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F65A9"/>
    <w:multiLevelType w:val="hybridMultilevel"/>
    <w:tmpl w:val="6516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905E8"/>
    <w:multiLevelType w:val="hybridMultilevel"/>
    <w:tmpl w:val="136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F2291"/>
    <w:multiLevelType w:val="hybridMultilevel"/>
    <w:tmpl w:val="F7F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24EE2"/>
    <w:multiLevelType w:val="hybridMultilevel"/>
    <w:tmpl w:val="E68E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C50A8"/>
    <w:multiLevelType w:val="hybridMultilevel"/>
    <w:tmpl w:val="155017A6"/>
    <w:lvl w:ilvl="0" w:tplc="E272E148">
      <w:start w:val="1"/>
      <w:numFmt w:val="bullet"/>
      <w:lvlText w:val=""/>
      <w:lvlJc w:val="left"/>
      <w:pPr>
        <w:tabs>
          <w:tab w:val="num" w:pos="862"/>
        </w:tabs>
        <w:ind w:left="862"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23104"/>
    <w:multiLevelType w:val="hybridMultilevel"/>
    <w:tmpl w:val="52AC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37E4"/>
    <w:multiLevelType w:val="hybridMultilevel"/>
    <w:tmpl w:val="AC76D32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3CBC3E6A"/>
    <w:multiLevelType w:val="hybridMultilevel"/>
    <w:tmpl w:val="32D4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B4A45"/>
    <w:multiLevelType w:val="hybridMultilevel"/>
    <w:tmpl w:val="1D9C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B622F"/>
    <w:multiLevelType w:val="hybridMultilevel"/>
    <w:tmpl w:val="DF62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47416"/>
    <w:multiLevelType w:val="hybridMultilevel"/>
    <w:tmpl w:val="8E5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94896"/>
    <w:multiLevelType w:val="hybridMultilevel"/>
    <w:tmpl w:val="E9E4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23F48"/>
    <w:multiLevelType w:val="hybridMultilevel"/>
    <w:tmpl w:val="D648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E3101"/>
    <w:multiLevelType w:val="hybridMultilevel"/>
    <w:tmpl w:val="3CA8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7"/>
  </w:num>
  <w:num w:numId="5">
    <w:abstractNumId w:val="7"/>
  </w:num>
  <w:num w:numId="6">
    <w:abstractNumId w:val="16"/>
  </w:num>
  <w:num w:numId="7">
    <w:abstractNumId w:val="4"/>
  </w:num>
  <w:num w:numId="8">
    <w:abstractNumId w:val="11"/>
  </w:num>
  <w:num w:numId="9">
    <w:abstractNumId w:val="9"/>
  </w:num>
  <w:num w:numId="10">
    <w:abstractNumId w:val="6"/>
  </w:num>
  <w:num w:numId="11">
    <w:abstractNumId w:val="10"/>
  </w:num>
  <w:num w:numId="12">
    <w:abstractNumId w:val="8"/>
  </w:num>
  <w:num w:numId="13">
    <w:abstractNumId w:val="1"/>
  </w:num>
  <w:num w:numId="14">
    <w:abstractNumId w:val="0"/>
  </w:num>
  <w:num w:numId="15">
    <w:abstractNumId w:val="15"/>
  </w:num>
  <w:num w:numId="16">
    <w:abstractNumId w:val="13"/>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5C"/>
    <w:rsid w:val="0000107E"/>
    <w:rsid w:val="00016E21"/>
    <w:rsid w:val="000225C4"/>
    <w:rsid w:val="0002402B"/>
    <w:rsid w:val="00030075"/>
    <w:rsid w:val="00031E07"/>
    <w:rsid w:val="00036272"/>
    <w:rsid w:val="00054EF5"/>
    <w:rsid w:val="00063311"/>
    <w:rsid w:val="00072F32"/>
    <w:rsid w:val="000750A4"/>
    <w:rsid w:val="00081E2E"/>
    <w:rsid w:val="00083CFD"/>
    <w:rsid w:val="000959F0"/>
    <w:rsid w:val="000963C7"/>
    <w:rsid w:val="000C7754"/>
    <w:rsid w:val="000D4E78"/>
    <w:rsid w:val="000E1194"/>
    <w:rsid w:val="000E3023"/>
    <w:rsid w:val="000E3C17"/>
    <w:rsid w:val="000E3EB5"/>
    <w:rsid w:val="000F0DE6"/>
    <w:rsid w:val="000F70C8"/>
    <w:rsid w:val="001155D3"/>
    <w:rsid w:val="0012193F"/>
    <w:rsid w:val="00124A7A"/>
    <w:rsid w:val="001415A7"/>
    <w:rsid w:val="00147FD4"/>
    <w:rsid w:val="00150AC5"/>
    <w:rsid w:val="00170CEB"/>
    <w:rsid w:val="001715F3"/>
    <w:rsid w:val="001811E7"/>
    <w:rsid w:val="0018137A"/>
    <w:rsid w:val="0018325E"/>
    <w:rsid w:val="001849BD"/>
    <w:rsid w:val="0019159F"/>
    <w:rsid w:val="00194C5C"/>
    <w:rsid w:val="00196B8C"/>
    <w:rsid w:val="001A0219"/>
    <w:rsid w:val="001A150D"/>
    <w:rsid w:val="001A2955"/>
    <w:rsid w:val="001B0875"/>
    <w:rsid w:val="001B4BB6"/>
    <w:rsid w:val="001C1BD2"/>
    <w:rsid w:val="001C3C6B"/>
    <w:rsid w:val="001C48AB"/>
    <w:rsid w:val="00203C98"/>
    <w:rsid w:val="002058E5"/>
    <w:rsid w:val="00206A23"/>
    <w:rsid w:val="00206A2F"/>
    <w:rsid w:val="00214D82"/>
    <w:rsid w:val="00222014"/>
    <w:rsid w:val="00225832"/>
    <w:rsid w:val="00252123"/>
    <w:rsid w:val="002570A6"/>
    <w:rsid w:val="00262786"/>
    <w:rsid w:val="0026508D"/>
    <w:rsid w:val="002736EA"/>
    <w:rsid w:val="002737A3"/>
    <w:rsid w:val="0027653D"/>
    <w:rsid w:val="00276E71"/>
    <w:rsid w:val="00283936"/>
    <w:rsid w:val="00290599"/>
    <w:rsid w:val="00292E9E"/>
    <w:rsid w:val="00294B2A"/>
    <w:rsid w:val="002A492B"/>
    <w:rsid w:val="002A554A"/>
    <w:rsid w:val="002C3259"/>
    <w:rsid w:val="002D0315"/>
    <w:rsid w:val="002D15F0"/>
    <w:rsid w:val="002E5B90"/>
    <w:rsid w:val="002E64E7"/>
    <w:rsid w:val="002E6632"/>
    <w:rsid w:val="003047B2"/>
    <w:rsid w:val="00304867"/>
    <w:rsid w:val="003145F4"/>
    <w:rsid w:val="003209B8"/>
    <w:rsid w:val="0032297F"/>
    <w:rsid w:val="00330F7B"/>
    <w:rsid w:val="00340C68"/>
    <w:rsid w:val="00342E8B"/>
    <w:rsid w:val="00344F32"/>
    <w:rsid w:val="00345C5A"/>
    <w:rsid w:val="003539AB"/>
    <w:rsid w:val="003619CC"/>
    <w:rsid w:val="00363F53"/>
    <w:rsid w:val="00365E69"/>
    <w:rsid w:val="00367C64"/>
    <w:rsid w:val="00370443"/>
    <w:rsid w:val="00381017"/>
    <w:rsid w:val="003A0BC5"/>
    <w:rsid w:val="003A24F9"/>
    <w:rsid w:val="003A5F10"/>
    <w:rsid w:val="003D026A"/>
    <w:rsid w:val="003D0526"/>
    <w:rsid w:val="003D2AC7"/>
    <w:rsid w:val="003D7749"/>
    <w:rsid w:val="003E0FEA"/>
    <w:rsid w:val="003E646B"/>
    <w:rsid w:val="003E66B9"/>
    <w:rsid w:val="003E6CAE"/>
    <w:rsid w:val="003F0090"/>
    <w:rsid w:val="003F3B8A"/>
    <w:rsid w:val="003F7995"/>
    <w:rsid w:val="003F7E0B"/>
    <w:rsid w:val="00407378"/>
    <w:rsid w:val="00411A2A"/>
    <w:rsid w:val="00412ED9"/>
    <w:rsid w:val="00432752"/>
    <w:rsid w:val="004378EB"/>
    <w:rsid w:val="00440461"/>
    <w:rsid w:val="00450EDD"/>
    <w:rsid w:val="00451678"/>
    <w:rsid w:val="00452B55"/>
    <w:rsid w:val="0046375B"/>
    <w:rsid w:val="004641C3"/>
    <w:rsid w:val="00465861"/>
    <w:rsid w:val="00481E18"/>
    <w:rsid w:val="00482AEB"/>
    <w:rsid w:val="004A6DCE"/>
    <w:rsid w:val="004B3D9B"/>
    <w:rsid w:val="004C4075"/>
    <w:rsid w:val="004D247B"/>
    <w:rsid w:val="004D591B"/>
    <w:rsid w:val="004E4C7E"/>
    <w:rsid w:val="004E6C7B"/>
    <w:rsid w:val="004E7BE4"/>
    <w:rsid w:val="004F1F0C"/>
    <w:rsid w:val="004F7E5D"/>
    <w:rsid w:val="00500040"/>
    <w:rsid w:val="005029C8"/>
    <w:rsid w:val="00511FA8"/>
    <w:rsid w:val="005141F1"/>
    <w:rsid w:val="005178C7"/>
    <w:rsid w:val="00521382"/>
    <w:rsid w:val="00526046"/>
    <w:rsid w:val="005317C7"/>
    <w:rsid w:val="0053530D"/>
    <w:rsid w:val="00554CA5"/>
    <w:rsid w:val="005563DC"/>
    <w:rsid w:val="005676AE"/>
    <w:rsid w:val="00595C38"/>
    <w:rsid w:val="005A3DEA"/>
    <w:rsid w:val="005A56EC"/>
    <w:rsid w:val="005B0080"/>
    <w:rsid w:val="005B0EC6"/>
    <w:rsid w:val="005B36A6"/>
    <w:rsid w:val="005B50E5"/>
    <w:rsid w:val="005C71E9"/>
    <w:rsid w:val="005D75FD"/>
    <w:rsid w:val="005E7F8A"/>
    <w:rsid w:val="005F703A"/>
    <w:rsid w:val="006037E0"/>
    <w:rsid w:val="00617327"/>
    <w:rsid w:val="00622FEF"/>
    <w:rsid w:val="006260EA"/>
    <w:rsid w:val="00630387"/>
    <w:rsid w:val="00641E49"/>
    <w:rsid w:val="00642D40"/>
    <w:rsid w:val="00646E26"/>
    <w:rsid w:val="00651B94"/>
    <w:rsid w:val="00662C0C"/>
    <w:rsid w:val="006724FC"/>
    <w:rsid w:val="00675721"/>
    <w:rsid w:val="00681BEA"/>
    <w:rsid w:val="006955F5"/>
    <w:rsid w:val="006A7645"/>
    <w:rsid w:val="006B0C07"/>
    <w:rsid w:val="006B365B"/>
    <w:rsid w:val="006C03C6"/>
    <w:rsid w:val="006D68A0"/>
    <w:rsid w:val="006E0F6F"/>
    <w:rsid w:val="006F557C"/>
    <w:rsid w:val="0070544A"/>
    <w:rsid w:val="00711FBA"/>
    <w:rsid w:val="00730F61"/>
    <w:rsid w:val="0074319A"/>
    <w:rsid w:val="007451E6"/>
    <w:rsid w:val="007472CE"/>
    <w:rsid w:val="00750D1C"/>
    <w:rsid w:val="00776EA1"/>
    <w:rsid w:val="007911A4"/>
    <w:rsid w:val="007B6CA5"/>
    <w:rsid w:val="007C0114"/>
    <w:rsid w:val="007C2708"/>
    <w:rsid w:val="007C7A57"/>
    <w:rsid w:val="007D340C"/>
    <w:rsid w:val="007F0A51"/>
    <w:rsid w:val="00800037"/>
    <w:rsid w:val="00800BB2"/>
    <w:rsid w:val="00800CBA"/>
    <w:rsid w:val="00802546"/>
    <w:rsid w:val="00803135"/>
    <w:rsid w:val="008051F9"/>
    <w:rsid w:val="00805879"/>
    <w:rsid w:val="00822A03"/>
    <w:rsid w:val="00823B0B"/>
    <w:rsid w:val="00824F71"/>
    <w:rsid w:val="00834839"/>
    <w:rsid w:val="00836C7D"/>
    <w:rsid w:val="0084281D"/>
    <w:rsid w:val="00871302"/>
    <w:rsid w:val="00885499"/>
    <w:rsid w:val="00885557"/>
    <w:rsid w:val="0088784D"/>
    <w:rsid w:val="00893EFD"/>
    <w:rsid w:val="008948F7"/>
    <w:rsid w:val="008B2DE2"/>
    <w:rsid w:val="008C384B"/>
    <w:rsid w:val="008C48FE"/>
    <w:rsid w:val="008C700F"/>
    <w:rsid w:val="008F5A04"/>
    <w:rsid w:val="00913023"/>
    <w:rsid w:val="00914C95"/>
    <w:rsid w:val="00930985"/>
    <w:rsid w:val="0094448C"/>
    <w:rsid w:val="009477E5"/>
    <w:rsid w:val="00956780"/>
    <w:rsid w:val="00956EA2"/>
    <w:rsid w:val="00957B0F"/>
    <w:rsid w:val="009775B4"/>
    <w:rsid w:val="009825CB"/>
    <w:rsid w:val="009838ED"/>
    <w:rsid w:val="009A1BCF"/>
    <w:rsid w:val="009C27A9"/>
    <w:rsid w:val="009C5D3A"/>
    <w:rsid w:val="009D5B7D"/>
    <w:rsid w:val="009E2740"/>
    <w:rsid w:val="009E301B"/>
    <w:rsid w:val="009E7522"/>
    <w:rsid w:val="009F54D3"/>
    <w:rsid w:val="00A02F3B"/>
    <w:rsid w:val="00A062A7"/>
    <w:rsid w:val="00A14E2A"/>
    <w:rsid w:val="00A1657B"/>
    <w:rsid w:val="00A31902"/>
    <w:rsid w:val="00A32C72"/>
    <w:rsid w:val="00A343A5"/>
    <w:rsid w:val="00A47BF0"/>
    <w:rsid w:val="00A514C9"/>
    <w:rsid w:val="00A56DB8"/>
    <w:rsid w:val="00A57347"/>
    <w:rsid w:val="00A61863"/>
    <w:rsid w:val="00A635D8"/>
    <w:rsid w:val="00A717E7"/>
    <w:rsid w:val="00A75D26"/>
    <w:rsid w:val="00A77E19"/>
    <w:rsid w:val="00A91F12"/>
    <w:rsid w:val="00AA4688"/>
    <w:rsid w:val="00AD6BB8"/>
    <w:rsid w:val="00AE0644"/>
    <w:rsid w:val="00AE79D2"/>
    <w:rsid w:val="00AF17E9"/>
    <w:rsid w:val="00B03CE9"/>
    <w:rsid w:val="00B17EF0"/>
    <w:rsid w:val="00B21ABB"/>
    <w:rsid w:val="00B31781"/>
    <w:rsid w:val="00B34F7C"/>
    <w:rsid w:val="00B358A0"/>
    <w:rsid w:val="00B40318"/>
    <w:rsid w:val="00B42A9D"/>
    <w:rsid w:val="00B44F30"/>
    <w:rsid w:val="00B5586F"/>
    <w:rsid w:val="00B628FA"/>
    <w:rsid w:val="00B62C92"/>
    <w:rsid w:val="00B67239"/>
    <w:rsid w:val="00B834B3"/>
    <w:rsid w:val="00B91C35"/>
    <w:rsid w:val="00B94491"/>
    <w:rsid w:val="00BA2048"/>
    <w:rsid w:val="00BA23CB"/>
    <w:rsid w:val="00BC2F75"/>
    <w:rsid w:val="00BC5D67"/>
    <w:rsid w:val="00BC6275"/>
    <w:rsid w:val="00BD2BF1"/>
    <w:rsid w:val="00BE1928"/>
    <w:rsid w:val="00BE2EDB"/>
    <w:rsid w:val="00BF3DC9"/>
    <w:rsid w:val="00BF5A94"/>
    <w:rsid w:val="00BF60EE"/>
    <w:rsid w:val="00C07C8C"/>
    <w:rsid w:val="00C1093E"/>
    <w:rsid w:val="00C14E94"/>
    <w:rsid w:val="00C17A55"/>
    <w:rsid w:val="00C17C99"/>
    <w:rsid w:val="00C311DA"/>
    <w:rsid w:val="00C32500"/>
    <w:rsid w:val="00C340FE"/>
    <w:rsid w:val="00C36229"/>
    <w:rsid w:val="00C41901"/>
    <w:rsid w:val="00C51F69"/>
    <w:rsid w:val="00C64C44"/>
    <w:rsid w:val="00C64D03"/>
    <w:rsid w:val="00C74402"/>
    <w:rsid w:val="00C75E7A"/>
    <w:rsid w:val="00C85050"/>
    <w:rsid w:val="00C97D2A"/>
    <w:rsid w:val="00CA1E84"/>
    <w:rsid w:val="00CA35B7"/>
    <w:rsid w:val="00CB5147"/>
    <w:rsid w:val="00CC1B93"/>
    <w:rsid w:val="00CC5285"/>
    <w:rsid w:val="00CD4CE1"/>
    <w:rsid w:val="00CE25E3"/>
    <w:rsid w:val="00CE3341"/>
    <w:rsid w:val="00CE4A75"/>
    <w:rsid w:val="00CE4B89"/>
    <w:rsid w:val="00CF597A"/>
    <w:rsid w:val="00D002F5"/>
    <w:rsid w:val="00D014DC"/>
    <w:rsid w:val="00D10864"/>
    <w:rsid w:val="00D12D64"/>
    <w:rsid w:val="00D14BA0"/>
    <w:rsid w:val="00D2034F"/>
    <w:rsid w:val="00D21C65"/>
    <w:rsid w:val="00D2598A"/>
    <w:rsid w:val="00D33D4C"/>
    <w:rsid w:val="00D36954"/>
    <w:rsid w:val="00D43E4D"/>
    <w:rsid w:val="00D450FB"/>
    <w:rsid w:val="00D504EA"/>
    <w:rsid w:val="00D543DD"/>
    <w:rsid w:val="00D569D8"/>
    <w:rsid w:val="00D56E5B"/>
    <w:rsid w:val="00D71864"/>
    <w:rsid w:val="00D84B57"/>
    <w:rsid w:val="00D86F37"/>
    <w:rsid w:val="00DA4003"/>
    <w:rsid w:val="00DA5A3B"/>
    <w:rsid w:val="00DB059F"/>
    <w:rsid w:val="00DC40B5"/>
    <w:rsid w:val="00DC42CF"/>
    <w:rsid w:val="00DC7D75"/>
    <w:rsid w:val="00DD3804"/>
    <w:rsid w:val="00DD56ED"/>
    <w:rsid w:val="00DD6A05"/>
    <w:rsid w:val="00DE6DFE"/>
    <w:rsid w:val="00DF5CCC"/>
    <w:rsid w:val="00E011BB"/>
    <w:rsid w:val="00E1183C"/>
    <w:rsid w:val="00E122F2"/>
    <w:rsid w:val="00E1424E"/>
    <w:rsid w:val="00E254D1"/>
    <w:rsid w:val="00E459E1"/>
    <w:rsid w:val="00E47826"/>
    <w:rsid w:val="00E52DA8"/>
    <w:rsid w:val="00E63A5C"/>
    <w:rsid w:val="00E643B2"/>
    <w:rsid w:val="00E70CF4"/>
    <w:rsid w:val="00E76D39"/>
    <w:rsid w:val="00E77968"/>
    <w:rsid w:val="00E837DE"/>
    <w:rsid w:val="00E8409E"/>
    <w:rsid w:val="00EA35D3"/>
    <w:rsid w:val="00EA7AED"/>
    <w:rsid w:val="00EB6427"/>
    <w:rsid w:val="00ED1843"/>
    <w:rsid w:val="00ED7893"/>
    <w:rsid w:val="00EE13DC"/>
    <w:rsid w:val="00EE3A39"/>
    <w:rsid w:val="00EF48F5"/>
    <w:rsid w:val="00EF4E5D"/>
    <w:rsid w:val="00EF5B81"/>
    <w:rsid w:val="00EF6B74"/>
    <w:rsid w:val="00F213A7"/>
    <w:rsid w:val="00F246C8"/>
    <w:rsid w:val="00F3362D"/>
    <w:rsid w:val="00F56F7B"/>
    <w:rsid w:val="00F57BF1"/>
    <w:rsid w:val="00F67C90"/>
    <w:rsid w:val="00F73604"/>
    <w:rsid w:val="00F75168"/>
    <w:rsid w:val="00F81C5A"/>
    <w:rsid w:val="00F84493"/>
    <w:rsid w:val="00F90AB3"/>
    <w:rsid w:val="00F96222"/>
    <w:rsid w:val="00FA42CA"/>
    <w:rsid w:val="00FB0FD6"/>
    <w:rsid w:val="00FC0BD8"/>
    <w:rsid w:val="00FD26E6"/>
    <w:rsid w:val="00FD4F3D"/>
    <w:rsid w:val="00FE1300"/>
    <w:rsid w:val="00FE36C3"/>
    <w:rsid w:val="00FE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BA97"/>
  <w15:docId w15:val="{71C1433C-8E3C-4453-8693-9732B52A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5C"/>
    <w:pPr>
      <w:spacing w:after="200" w:line="276" w:lineRule="auto"/>
    </w:pPr>
    <w:rPr>
      <w:rFonts w:ascii="Calibri" w:eastAsia="MS Mincho" w:hAnsi="Calibri"/>
      <w:sz w:val="22"/>
      <w:szCs w:val="22"/>
    </w:rPr>
  </w:style>
  <w:style w:type="paragraph" w:styleId="Heading1">
    <w:name w:val="heading 1"/>
    <w:basedOn w:val="Normal"/>
    <w:next w:val="Normal"/>
    <w:link w:val="Heading1Char"/>
    <w:qFormat/>
    <w:rsid w:val="00BE192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192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928"/>
    <w:rPr>
      <w:rFonts w:ascii="Arial" w:hAnsi="Arial" w:cs="Arial"/>
      <w:b/>
      <w:bCs/>
      <w:kern w:val="32"/>
      <w:sz w:val="32"/>
      <w:szCs w:val="32"/>
      <w:lang w:bidi="he-IL"/>
    </w:rPr>
  </w:style>
  <w:style w:type="character" w:customStyle="1" w:styleId="Heading2Char">
    <w:name w:val="Heading 2 Char"/>
    <w:basedOn w:val="DefaultParagraphFont"/>
    <w:link w:val="Heading2"/>
    <w:rsid w:val="00BE1928"/>
    <w:rPr>
      <w:rFonts w:ascii="Arial" w:hAnsi="Arial" w:cs="Arial"/>
      <w:b/>
      <w:bCs/>
      <w:i/>
      <w:iCs/>
      <w:sz w:val="28"/>
      <w:szCs w:val="28"/>
      <w:lang w:bidi="he-IL"/>
    </w:rPr>
  </w:style>
  <w:style w:type="character" w:styleId="Emphasis">
    <w:name w:val="Emphasis"/>
    <w:basedOn w:val="DefaultParagraphFont"/>
    <w:uiPriority w:val="20"/>
    <w:qFormat/>
    <w:rsid w:val="00BE1928"/>
    <w:rPr>
      <w:i/>
      <w:iCs/>
    </w:rPr>
  </w:style>
  <w:style w:type="character" w:customStyle="1" w:styleId="st1">
    <w:name w:val="st1"/>
    <w:rsid w:val="00194C5C"/>
  </w:style>
  <w:style w:type="paragraph" w:styleId="BalloonText">
    <w:name w:val="Balloon Text"/>
    <w:basedOn w:val="Normal"/>
    <w:link w:val="BalloonTextChar"/>
    <w:uiPriority w:val="99"/>
    <w:semiHidden/>
    <w:unhideWhenUsed/>
    <w:rsid w:val="0019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5C"/>
    <w:rPr>
      <w:rFonts w:ascii="Tahoma" w:eastAsia="MS Mincho" w:hAnsi="Tahoma" w:cs="Tahoma"/>
      <w:sz w:val="16"/>
      <w:szCs w:val="16"/>
    </w:rPr>
  </w:style>
  <w:style w:type="character" w:styleId="Hyperlink">
    <w:name w:val="Hyperlink"/>
    <w:basedOn w:val="DefaultParagraphFont"/>
    <w:uiPriority w:val="99"/>
    <w:unhideWhenUsed/>
    <w:rsid w:val="00194C5C"/>
    <w:rPr>
      <w:color w:val="0000FF"/>
      <w:u w:val="single"/>
    </w:rPr>
  </w:style>
  <w:style w:type="character" w:styleId="Strong">
    <w:name w:val="Strong"/>
    <w:basedOn w:val="DefaultParagraphFont"/>
    <w:uiPriority w:val="22"/>
    <w:qFormat/>
    <w:rsid w:val="00194C5C"/>
    <w:rPr>
      <w:b/>
      <w:bCs/>
    </w:rPr>
  </w:style>
  <w:style w:type="paragraph" w:styleId="NoSpacing">
    <w:name w:val="No Spacing"/>
    <w:link w:val="NoSpacingChar"/>
    <w:uiPriority w:val="1"/>
    <w:qFormat/>
    <w:rsid w:val="00194C5C"/>
    <w:rPr>
      <w:rFonts w:ascii="Calibri" w:eastAsia="Calibri" w:hAnsi="Calibri"/>
      <w:sz w:val="22"/>
      <w:szCs w:val="22"/>
      <w:lang w:val="en-GB"/>
    </w:rPr>
  </w:style>
  <w:style w:type="paragraph" w:styleId="ListParagraph">
    <w:name w:val="List Paragraph"/>
    <w:basedOn w:val="Normal"/>
    <w:uiPriority w:val="34"/>
    <w:qFormat/>
    <w:rsid w:val="00EF4E5D"/>
    <w:pPr>
      <w:ind w:left="720"/>
      <w:contextualSpacing/>
    </w:pPr>
  </w:style>
  <w:style w:type="paragraph" w:customStyle="1" w:styleId="Default">
    <w:name w:val="Default"/>
    <w:rsid w:val="005A56EC"/>
    <w:pPr>
      <w:autoSpaceDE w:val="0"/>
      <w:autoSpaceDN w:val="0"/>
      <w:adjustRightInd w:val="0"/>
    </w:pPr>
    <w:rPr>
      <w:color w:val="000000"/>
      <w:sz w:val="24"/>
      <w:szCs w:val="24"/>
    </w:rPr>
  </w:style>
  <w:style w:type="paragraph" w:styleId="Header">
    <w:name w:val="header"/>
    <w:basedOn w:val="Normal"/>
    <w:link w:val="HeaderChar"/>
    <w:uiPriority w:val="99"/>
    <w:unhideWhenUsed/>
    <w:rsid w:val="00E6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3B2"/>
    <w:rPr>
      <w:rFonts w:ascii="Calibri" w:eastAsia="MS Mincho" w:hAnsi="Calibri"/>
      <w:sz w:val="22"/>
      <w:szCs w:val="22"/>
    </w:rPr>
  </w:style>
  <w:style w:type="paragraph" w:styleId="Footer">
    <w:name w:val="footer"/>
    <w:basedOn w:val="Normal"/>
    <w:link w:val="FooterChar"/>
    <w:uiPriority w:val="99"/>
    <w:unhideWhenUsed/>
    <w:rsid w:val="00E6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3B2"/>
    <w:rPr>
      <w:rFonts w:ascii="Calibri" w:eastAsia="MS Mincho" w:hAnsi="Calibri"/>
      <w:sz w:val="22"/>
      <w:szCs w:val="22"/>
    </w:rPr>
  </w:style>
  <w:style w:type="character" w:styleId="CommentReference">
    <w:name w:val="annotation reference"/>
    <w:basedOn w:val="DefaultParagraphFont"/>
    <w:uiPriority w:val="99"/>
    <w:semiHidden/>
    <w:unhideWhenUsed/>
    <w:rsid w:val="00412ED9"/>
    <w:rPr>
      <w:sz w:val="16"/>
      <w:szCs w:val="16"/>
    </w:rPr>
  </w:style>
  <w:style w:type="paragraph" w:styleId="CommentText">
    <w:name w:val="annotation text"/>
    <w:basedOn w:val="Normal"/>
    <w:link w:val="CommentTextChar"/>
    <w:uiPriority w:val="99"/>
    <w:semiHidden/>
    <w:unhideWhenUsed/>
    <w:rsid w:val="00412ED9"/>
    <w:pPr>
      <w:spacing w:line="240" w:lineRule="auto"/>
    </w:pPr>
    <w:rPr>
      <w:sz w:val="20"/>
      <w:szCs w:val="20"/>
    </w:rPr>
  </w:style>
  <w:style w:type="character" w:customStyle="1" w:styleId="CommentTextChar">
    <w:name w:val="Comment Text Char"/>
    <w:basedOn w:val="DefaultParagraphFont"/>
    <w:link w:val="CommentText"/>
    <w:uiPriority w:val="99"/>
    <w:semiHidden/>
    <w:rsid w:val="00412ED9"/>
    <w:rPr>
      <w:rFonts w:ascii="Calibri" w:eastAsia="MS Mincho" w:hAnsi="Calibri"/>
    </w:rPr>
  </w:style>
  <w:style w:type="paragraph" w:styleId="CommentSubject">
    <w:name w:val="annotation subject"/>
    <w:basedOn w:val="CommentText"/>
    <w:next w:val="CommentText"/>
    <w:link w:val="CommentSubjectChar"/>
    <w:uiPriority w:val="99"/>
    <w:semiHidden/>
    <w:unhideWhenUsed/>
    <w:rsid w:val="00412ED9"/>
    <w:rPr>
      <w:b/>
      <w:bCs/>
    </w:rPr>
  </w:style>
  <w:style w:type="character" w:customStyle="1" w:styleId="CommentSubjectChar">
    <w:name w:val="Comment Subject Char"/>
    <w:basedOn w:val="CommentTextChar"/>
    <w:link w:val="CommentSubject"/>
    <w:uiPriority w:val="99"/>
    <w:semiHidden/>
    <w:rsid w:val="00412ED9"/>
    <w:rPr>
      <w:rFonts w:ascii="Calibri" w:eastAsia="MS Mincho" w:hAnsi="Calibri"/>
      <w:b/>
      <w:bCs/>
    </w:rPr>
  </w:style>
  <w:style w:type="character" w:customStyle="1" w:styleId="NoSpacingChar">
    <w:name w:val="No Spacing Char"/>
    <w:basedOn w:val="DefaultParagraphFont"/>
    <w:link w:val="NoSpacing"/>
    <w:uiPriority w:val="99"/>
    <w:locked/>
    <w:rsid w:val="00A61863"/>
    <w:rPr>
      <w:rFonts w:ascii="Calibri" w:eastAsia="Calibri" w:hAnsi="Calibri"/>
      <w:sz w:val="22"/>
      <w:szCs w:val="22"/>
      <w:lang w:val="en-GB"/>
    </w:rPr>
  </w:style>
  <w:style w:type="paragraph" w:styleId="PlainText">
    <w:name w:val="Plain Text"/>
    <w:basedOn w:val="Normal"/>
    <w:link w:val="PlainTextChar"/>
    <w:uiPriority w:val="99"/>
    <w:semiHidden/>
    <w:unhideWhenUsed/>
    <w:rsid w:val="00A61863"/>
    <w:pPr>
      <w:widowControl w:val="0"/>
      <w:spacing w:after="0" w:line="240" w:lineRule="auto"/>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semiHidden/>
    <w:rsid w:val="00A61863"/>
    <w:rPr>
      <w:rFonts w:ascii="MS Gothic" w:eastAsia="MS Gothic" w:hAnsi="Courier New" w:cs="Courier New"/>
      <w:kern w:val="2"/>
      <w:szCs w:val="21"/>
      <w:lang w:eastAsia="ja-JP"/>
    </w:rPr>
  </w:style>
  <w:style w:type="paragraph" w:styleId="NormalWeb">
    <w:name w:val="Normal (Web)"/>
    <w:basedOn w:val="Normal"/>
    <w:uiPriority w:val="99"/>
    <w:semiHidden/>
    <w:unhideWhenUsed/>
    <w:rsid w:val="0053530D"/>
    <w:pPr>
      <w:spacing w:after="0" w:line="300" w:lineRule="atLeast"/>
    </w:pPr>
    <w:rPr>
      <w:rFonts w:ascii="Helvetica" w:eastAsia="Times New Roman" w:hAnsi="Helvetica"/>
      <w:color w:val="777777"/>
      <w:sz w:val="23"/>
      <w:szCs w:val="23"/>
    </w:rPr>
  </w:style>
  <w:style w:type="character" w:customStyle="1" w:styleId="A3">
    <w:name w:val="A3"/>
    <w:uiPriority w:val="99"/>
    <w:rsid w:val="00E1183C"/>
    <w:rPr>
      <w:rFonts w:cs="NeuzeitGroLig"/>
      <w:color w:val="221E1F"/>
      <w:sz w:val="22"/>
      <w:szCs w:val="22"/>
    </w:rPr>
  </w:style>
  <w:style w:type="paragraph" w:customStyle="1" w:styleId="TNR12">
    <w:name w:val="TNR 12"/>
    <w:basedOn w:val="NoSpacing"/>
    <w:link w:val="TNR12Char"/>
    <w:qFormat/>
    <w:rsid w:val="006260EA"/>
    <w:rPr>
      <w:rFonts w:ascii="Times New Roman" w:eastAsiaTheme="minorHAnsi" w:hAnsi="Times New Roman" w:cstheme="minorBidi"/>
      <w:sz w:val="24"/>
      <w:lang w:val="en-US"/>
    </w:rPr>
  </w:style>
  <w:style w:type="character" w:customStyle="1" w:styleId="TNR12Char">
    <w:name w:val="TNR 12 Char"/>
    <w:basedOn w:val="DefaultParagraphFont"/>
    <w:link w:val="TNR12"/>
    <w:rsid w:val="006260EA"/>
    <w:rPr>
      <w:rFonts w:eastAsiaTheme="minorHAnsi" w:cstheme="minorBidi"/>
      <w:sz w:val="24"/>
      <w:szCs w:val="22"/>
    </w:rPr>
  </w:style>
  <w:style w:type="character" w:customStyle="1" w:styleId="UnresolvedMention1">
    <w:name w:val="Unresolved Mention1"/>
    <w:basedOn w:val="DefaultParagraphFont"/>
    <w:uiPriority w:val="99"/>
    <w:semiHidden/>
    <w:unhideWhenUsed/>
    <w:rsid w:val="008C700F"/>
    <w:rPr>
      <w:color w:val="808080"/>
      <w:shd w:val="clear" w:color="auto" w:fill="E6E6E6"/>
    </w:rPr>
  </w:style>
  <w:style w:type="character" w:customStyle="1" w:styleId="fontstyle01">
    <w:name w:val="fontstyle01"/>
    <w:basedOn w:val="DefaultParagraphFont"/>
    <w:rsid w:val="00072F32"/>
    <w:rPr>
      <w:rFonts w:ascii="Garamond" w:hAnsi="Garamond" w:hint="default"/>
      <w:b w:val="0"/>
      <w:bCs w:val="0"/>
      <w:i w:val="0"/>
      <w:iCs w:val="0"/>
      <w:color w:val="000000"/>
    </w:rPr>
  </w:style>
  <w:style w:type="character" w:customStyle="1" w:styleId="UnresolvedMention2">
    <w:name w:val="Unresolved Mention2"/>
    <w:basedOn w:val="DefaultParagraphFont"/>
    <w:uiPriority w:val="99"/>
    <w:semiHidden/>
    <w:unhideWhenUsed/>
    <w:rsid w:val="00B94491"/>
    <w:rPr>
      <w:color w:val="808080"/>
      <w:shd w:val="clear" w:color="auto" w:fill="E6E6E6"/>
    </w:rPr>
  </w:style>
  <w:style w:type="table" w:styleId="TableGrid">
    <w:name w:val="Table Grid"/>
    <w:basedOn w:val="TableNormal"/>
    <w:rsid w:val="00DA400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4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4919">
      <w:bodyDiv w:val="1"/>
      <w:marLeft w:val="0"/>
      <w:marRight w:val="0"/>
      <w:marTop w:val="0"/>
      <w:marBottom w:val="0"/>
      <w:divBdr>
        <w:top w:val="none" w:sz="0" w:space="0" w:color="auto"/>
        <w:left w:val="none" w:sz="0" w:space="0" w:color="auto"/>
        <w:bottom w:val="none" w:sz="0" w:space="0" w:color="auto"/>
        <w:right w:val="none" w:sz="0" w:space="0" w:color="auto"/>
      </w:divBdr>
    </w:div>
    <w:div w:id="408816800">
      <w:bodyDiv w:val="1"/>
      <w:marLeft w:val="0"/>
      <w:marRight w:val="0"/>
      <w:marTop w:val="0"/>
      <w:marBottom w:val="0"/>
      <w:divBdr>
        <w:top w:val="none" w:sz="0" w:space="0" w:color="auto"/>
        <w:left w:val="none" w:sz="0" w:space="0" w:color="auto"/>
        <w:bottom w:val="none" w:sz="0" w:space="0" w:color="auto"/>
        <w:right w:val="none" w:sz="0" w:space="0" w:color="auto"/>
      </w:divBdr>
    </w:div>
    <w:div w:id="472333481">
      <w:bodyDiv w:val="1"/>
      <w:marLeft w:val="0"/>
      <w:marRight w:val="0"/>
      <w:marTop w:val="0"/>
      <w:marBottom w:val="0"/>
      <w:divBdr>
        <w:top w:val="none" w:sz="0" w:space="0" w:color="auto"/>
        <w:left w:val="none" w:sz="0" w:space="0" w:color="auto"/>
        <w:bottom w:val="none" w:sz="0" w:space="0" w:color="auto"/>
        <w:right w:val="none" w:sz="0" w:space="0" w:color="auto"/>
      </w:divBdr>
    </w:div>
    <w:div w:id="505098021">
      <w:bodyDiv w:val="1"/>
      <w:marLeft w:val="0"/>
      <w:marRight w:val="0"/>
      <w:marTop w:val="0"/>
      <w:marBottom w:val="0"/>
      <w:divBdr>
        <w:top w:val="none" w:sz="0" w:space="0" w:color="auto"/>
        <w:left w:val="none" w:sz="0" w:space="0" w:color="auto"/>
        <w:bottom w:val="none" w:sz="0" w:space="0" w:color="auto"/>
        <w:right w:val="none" w:sz="0" w:space="0" w:color="auto"/>
      </w:divBdr>
    </w:div>
    <w:div w:id="795681141">
      <w:bodyDiv w:val="1"/>
      <w:marLeft w:val="0"/>
      <w:marRight w:val="0"/>
      <w:marTop w:val="0"/>
      <w:marBottom w:val="0"/>
      <w:divBdr>
        <w:top w:val="none" w:sz="0" w:space="0" w:color="auto"/>
        <w:left w:val="none" w:sz="0" w:space="0" w:color="auto"/>
        <w:bottom w:val="none" w:sz="0" w:space="0" w:color="auto"/>
        <w:right w:val="none" w:sz="0" w:space="0" w:color="auto"/>
      </w:divBdr>
    </w:div>
    <w:div w:id="1391223119">
      <w:bodyDiv w:val="1"/>
      <w:marLeft w:val="0"/>
      <w:marRight w:val="0"/>
      <w:marTop w:val="0"/>
      <w:marBottom w:val="0"/>
      <w:divBdr>
        <w:top w:val="none" w:sz="0" w:space="0" w:color="auto"/>
        <w:left w:val="none" w:sz="0" w:space="0" w:color="auto"/>
        <w:bottom w:val="none" w:sz="0" w:space="0" w:color="auto"/>
        <w:right w:val="none" w:sz="0" w:space="0" w:color="auto"/>
      </w:divBdr>
    </w:div>
    <w:div w:id="1430194694">
      <w:bodyDiv w:val="1"/>
      <w:marLeft w:val="0"/>
      <w:marRight w:val="0"/>
      <w:marTop w:val="0"/>
      <w:marBottom w:val="0"/>
      <w:divBdr>
        <w:top w:val="none" w:sz="0" w:space="0" w:color="auto"/>
        <w:left w:val="none" w:sz="0" w:space="0" w:color="auto"/>
        <w:bottom w:val="none" w:sz="0" w:space="0" w:color="auto"/>
        <w:right w:val="none" w:sz="0" w:space="0" w:color="auto"/>
      </w:divBdr>
      <w:divsChild>
        <w:div w:id="620454130">
          <w:marLeft w:val="0"/>
          <w:marRight w:val="0"/>
          <w:marTop w:val="0"/>
          <w:marBottom w:val="0"/>
          <w:divBdr>
            <w:top w:val="none" w:sz="0" w:space="0" w:color="auto"/>
            <w:left w:val="none" w:sz="0" w:space="0" w:color="auto"/>
            <w:bottom w:val="none" w:sz="0" w:space="0" w:color="auto"/>
            <w:right w:val="none" w:sz="0" w:space="0" w:color="auto"/>
          </w:divBdr>
          <w:divsChild>
            <w:div w:id="181095080">
              <w:marLeft w:val="0"/>
              <w:marRight w:val="0"/>
              <w:marTop w:val="105"/>
              <w:marBottom w:val="0"/>
              <w:divBdr>
                <w:top w:val="none" w:sz="0" w:space="0" w:color="auto"/>
                <w:left w:val="none" w:sz="0" w:space="0" w:color="auto"/>
                <w:bottom w:val="none" w:sz="0" w:space="0" w:color="auto"/>
                <w:right w:val="none" w:sz="0" w:space="0" w:color="auto"/>
              </w:divBdr>
              <w:divsChild>
                <w:div w:id="170335604">
                  <w:marLeft w:val="0"/>
                  <w:marRight w:val="0"/>
                  <w:marTop w:val="0"/>
                  <w:marBottom w:val="0"/>
                  <w:divBdr>
                    <w:top w:val="none" w:sz="0" w:space="0" w:color="auto"/>
                    <w:left w:val="none" w:sz="0" w:space="0" w:color="auto"/>
                    <w:bottom w:val="none" w:sz="0" w:space="0" w:color="auto"/>
                    <w:right w:val="none" w:sz="0" w:space="0" w:color="auto"/>
                  </w:divBdr>
                  <w:divsChild>
                    <w:div w:id="1370036383">
                      <w:marLeft w:val="0"/>
                      <w:marRight w:val="0"/>
                      <w:marTop w:val="0"/>
                      <w:marBottom w:val="0"/>
                      <w:divBdr>
                        <w:top w:val="none" w:sz="0" w:space="0" w:color="auto"/>
                        <w:left w:val="none" w:sz="0" w:space="0" w:color="auto"/>
                        <w:bottom w:val="none" w:sz="0" w:space="0" w:color="auto"/>
                        <w:right w:val="none" w:sz="0" w:space="0" w:color="auto"/>
                      </w:divBdr>
                      <w:divsChild>
                        <w:div w:id="2050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825793">
      <w:bodyDiv w:val="1"/>
      <w:marLeft w:val="0"/>
      <w:marRight w:val="0"/>
      <w:marTop w:val="0"/>
      <w:marBottom w:val="0"/>
      <w:divBdr>
        <w:top w:val="none" w:sz="0" w:space="0" w:color="auto"/>
        <w:left w:val="none" w:sz="0" w:space="0" w:color="auto"/>
        <w:bottom w:val="none" w:sz="0" w:space="0" w:color="auto"/>
        <w:right w:val="none" w:sz="0" w:space="0" w:color="auto"/>
      </w:divBdr>
    </w:div>
    <w:div w:id="2005401892">
      <w:bodyDiv w:val="1"/>
      <w:marLeft w:val="0"/>
      <w:marRight w:val="0"/>
      <w:marTop w:val="0"/>
      <w:marBottom w:val="0"/>
      <w:divBdr>
        <w:top w:val="none" w:sz="0" w:space="0" w:color="auto"/>
        <w:left w:val="none" w:sz="0" w:space="0" w:color="auto"/>
        <w:bottom w:val="none" w:sz="0" w:space="0" w:color="auto"/>
        <w:right w:val="none" w:sz="0" w:space="0" w:color="auto"/>
      </w:divBdr>
    </w:div>
    <w:div w:id="21229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llan.malvar@icmagroup.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sda.org/2019/12/19/mr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cmagrou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afme.e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argaret.wilkinson@icma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5888</Characters>
  <Application>Microsoft Office Word</Application>
  <DocSecurity>0</DocSecurity>
  <Lines>140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Dobbs</dc:creator>
  <cp:lastModifiedBy>Nick Sawyer</cp:lastModifiedBy>
  <cp:revision>2</cp:revision>
  <cp:lastPrinted>2019-12-18T08:09:00Z</cp:lastPrinted>
  <dcterms:created xsi:type="dcterms:W3CDTF">2019-12-18T16:03:00Z</dcterms:created>
  <dcterms:modified xsi:type="dcterms:W3CDTF">2019-12-18T16:03:00Z</dcterms:modified>
</cp:coreProperties>
</file>