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A9A6" w14:textId="77777777" w:rsidR="00282272" w:rsidRPr="0067553F" w:rsidRDefault="00EA75C4" w:rsidP="0040580A">
      <w:pPr>
        <w:pStyle w:val="Title"/>
        <w:outlineLvl w:val="0"/>
      </w:pPr>
      <w:bookmarkStart w:id="0" w:name="_Hlk498502198"/>
      <w:bookmarkStart w:id="1" w:name="_Hlk482713671"/>
      <w:bookmarkStart w:id="2" w:name="_GoBack"/>
      <w:bookmarkEnd w:id="2"/>
      <w:r w:rsidRPr="0067553F">
        <w:t>Pressemitteilung</w:t>
      </w:r>
    </w:p>
    <w:p w14:paraId="25912D4F" w14:textId="523D5495" w:rsidR="003F7F16" w:rsidRPr="0067553F" w:rsidRDefault="003A6D99" w:rsidP="0040580A">
      <w:pPr>
        <w:pStyle w:val="Date"/>
        <w:spacing w:after="0" w:line="240" w:lineRule="auto"/>
        <w:outlineLvl w:val="0"/>
        <w:rPr>
          <w:rFonts w:ascii="Cambria" w:hAnsi="Cambria"/>
          <w:b/>
          <w:bCs/>
          <w:sz w:val="28"/>
          <w:szCs w:val="28"/>
        </w:rPr>
      </w:pPr>
      <w:r w:rsidRPr="0067553F">
        <w:rPr>
          <w:rFonts w:ascii="Cambria" w:hAnsi="Cambria"/>
          <w:b/>
          <w:bCs/>
          <w:sz w:val="28"/>
          <w:szCs w:val="28"/>
        </w:rPr>
        <w:t>Kapitalmarktunion: verbleibende Hindernisse erfordern energischeres Vorgehen</w:t>
      </w:r>
    </w:p>
    <w:p w14:paraId="4AB3162D" w14:textId="4E22816D" w:rsidR="00806D8E" w:rsidRPr="0067553F" w:rsidRDefault="00154C09" w:rsidP="00A117F5">
      <w:pPr>
        <w:pStyle w:val="Date"/>
        <w:spacing w:after="0" w:line="240" w:lineRule="auto"/>
        <w:rPr>
          <w:sz w:val="25"/>
          <w:szCs w:val="25"/>
        </w:rPr>
      </w:pPr>
      <w:r w:rsidRPr="0067553F">
        <w:rPr>
          <w:sz w:val="25"/>
          <w:szCs w:val="25"/>
        </w:rPr>
        <w:t xml:space="preserve">Wirtschaftsverbände veröffentlichen gemeinsam zweiten Bericht über Kennzahlen </w:t>
      </w:r>
    </w:p>
    <w:p w14:paraId="4D83E7AC" w14:textId="4AF11D05" w:rsidR="00F871DC" w:rsidRPr="0067553F" w:rsidRDefault="00CA51C8" w:rsidP="00A117F5">
      <w:pPr>
        <w:pStyle w:val="Date"/>
        <w:spacing w:after="0" w:line="240" w:lineRule="auto"/>
      </w:pPr>
      <w:r w:rsidRPr="0067553F">
        <w:t>Mittwoch, 16. Oktober 2019</w:t>
      </w:r>
    </w:p>
    <w:bookmarkEnd w:id="0"/>
    <w:p w14:paraId="21D355AD" w14:textId="2D559B95" w:rsidR="001D17A4" w:rsidRPr="0067553F" w:rsidRDefault="001D17A4" w:rsidP="006433EB">
      <w:pPr>
        <w:pStyle w:val="BodyText"/>
        <w:spacing w:after="0" w:line="240" w:lineRule="auto"/>
      </w:pPr>
    </w:p>
    <w:p w14:paraId="26FD8C97" w14:textId="62A0264A" w:rsidR="00777AF5" w:rsidRPr="0067553F" w:rsidRDefault="00426C77" w:rsidP="00A4518F">
      <w:pPr>
        <w:pStyle w:val="BodyText"/>
        <w:spacing w:after="0" w:line="240" w:lineRule="auto"/>
      </w:pPr>
      <w:r w:rsidRPr="0067553F">
        <w:t xml:space="preserve">In Zusammenarbeit mit zehn internationalen Organisationen und Wirtschaftsverbänden, die globale und europäische Interessengruppen der Kapitalmärkte repräsentieren, veröffentlichte die AFME heute die zweite Ausgabe ihres jährlichen Berichts, der anhand von acht Leistungskennzahlen den bisherigen Fortschritt des Vorzeigeprojekts „Kapitalmarktunion“ (Capital Markets Union, CMU) der Europäischen Kommission verfolgt. </w:t>
      </w:r>
    </w:p>
    <w:p w14:paraId="358AE282" w14:textId="2C206ACC" w:rsidR="00EC7BB9" w:rsidRPr="0067553F" w:rsidRDefault="00EC7BB9" w:rsidP="00A4518F">
      <w:pPr>
        <w:pStyle w:val="BodyText"/>
        <w:spacing w:after="0" w:line="240" w:lineRule="auto"/>
      </w:pPr>
    </w:p>
    <w:p w14:paraId="38C83BD0" w14:textId="0D6F452A" w:rsidR="00777AF5" w:rsidRPr="0067553F" w:rsidRDefault="00777AF5" w:rsidP="00A4518F">
      <w:pPr>
        <w:spacing w:line="240" w:lineRule="auto"/>
        <w:jc w:val="both"/>
      </w:pPr>
      <w:r w:rsidRPr="0067553F">
        <w:t>Der Bericht trägt den Titel „</w:t>
      </w:r>
      <w:r w:rsidRPr="0067553F">
        <w:rPr>
          <w:b/>
        </w:rPr>
        <w:t>Capital Markets Union Key Performance Indicators</w:t>
      </w:r>
      <w:r w:rsidRPr="0067553F">
        <w:t xml:space="preserve">“ (Kennzahlen zur Kapitalmarktunion) und vergleicht die Fortschritte einzelner EU-Mitgliedstaaten mit Blick auf die Ziele der Kapitalmarktunion. Der diesjährige Bericht misst anhand einer neuen Kennzahl auch, wie gut die 28 EU-Staaten Geldanlagen in FinTech ermöglichen. </w:t>
      </w:r>
    </w:p>
    <w:p w14:paraId="5F416E0D" w14:textId="6C27CC86" w:rsidR="00D52A85" w:rsidRPr="0067553F" w:rsidRDefault="00D52A85" w:rsidP="00A4518F">
      <w:pPr>
        <w:spacing w:line="240" w:lineRule="auto"/>
        <w:jc w:val="both"/>
        <w:rPr>
          <w:rFonts w:cs="Calibri"/>
          <w:lang w:eastAsia="en-US"/>
        </w:rPr>
      </w:pPr>
    </w:p>
    <w:p w14:paraId="0F3364ED" w14:textId="63FC9409" w:rsidR="00D52A85" w:rsidRPr="0067553F" w:rsidRDefault="00D52A85" w:rsidP="00A4518F">
      <w:pPr>
        <w:spacing w:line="240" w:lineRule="auto"/>
        <w:jc w:val="both"/>
        <w:rPr>
          <w:rFonts w:cs="Calibri"/>
          <w:i/>
        </w:rPr>
      </w:pPr>
      <w:r w:rsidRPr="0067553F">
        <w:t xml:space="preserve">Dazu </w:t>
      </w:r>
      <w:r w:rsidRPr="0067553F">
        <w:rPr>
          <w:b/>
        </w:rPr>
        <w:t>Simon Lewis, Chief Executive der AFME</w:t>
      </w:r>
      <w:r w:rsidRPr="0067553F">
        <w:t xml:space="preserve">: </w:t>
      </w:r>
      <w:r w:rsidRPr="0067553F">
        <w:rPr>
          <w:i/>
        </w:rPr>
        <w:t xml:space="preserve">„In der EU beginnt ein neuer politischer Zyklus, und somit steht der Bedarf an Weiterentwicklung der Kapitalmarktunion durch die Europäische Kommission immer stärker im Fokus. Einige Kennzahlen unseres Berichts zeigen zwar im Vergleich zu den Ergebnissen des Vorjahres eine positive Entwicklung – so zum Beispiel die führende Rolle Europas im Bereich der nachhaltigen </w:t>
      </w:r>
      <w:r w:rsidR="00ED657C" w:rsidRPr="0067553F">
        <w:rPr>
          <w:i/>
        </w:rPr>
        <w:t>Finanzierungen</w:t>
      </w:r>
      <w:r w:rsidRPr="0067553F">
        <w:rPr>
          <w:i/>
        </w:rPr>
        <w:t xml:space="preserve">. </w:t>
      </w:r>
      <w:r w:rsidR="000A4BC2" w:rsidRPr="0067553F">
        <w:rPr>
          <w:i/>
        </w:rPr>
        <w:t>Es</w:t>
      </w:r>
      <w:r w:rsidRPr="0067553F">
        <w:rPr>
          <w:i/>
        </w:rPr>
        <w:t xml:space="preserve"> ist aber auch klar, dass auf europäischer und nationaler Ebene noch viel zu tun bleibt. Vor allem die Wettbewerbsfähigkeit von Europas Kapitalmärkten muss gestärkt werden.“</w:t>
      </w:r>
    </w:p>
    <w:p w14:paraId="57248AE0" w14:textId="77777777" w:rsidR="003B21F1" w:rsidRPr="0067553F" w:rsidRDefault="003B21F1" w:rsidP="00A4518F">
      <w:pPr>
        <w:spacing w:line="240" w:lineRule="auto"/>
        <w:jc w:val="both"/>
        <w:rPr>
          <w:rFonts w:cs="Calibri"/>
          <w:lang w:eastAsia="en-US"/>
        </w:rPr>
      </w:pPr>
    </w:p>
    <w:p w14:paraId="4E8E5611" w14:textId="71376EB4" w:rsidR="00416F71" w:rsidRPr="0067553F" w:rsidRDefault="00324DF8" w:rsidP="0040580A">
      <w:pPr>
        <w:spacing w:line="240" w:lineRule="auto"/>
        <w:jc w:val="both"/>
        <w:outlineLvl w:val="0"/>
        <w:rPr>
          <w:rFonts w:cs="Calibri"/>
          <w:b/>
          <w:sz w:val="24"/>
          <w:szCs w:val="24"/>
          <w:u w:val="single"/>
        </w:rPr>
      </w:pPr>
      <w:r w:rsidRPr="0067553F">
        <w:rPr>
          <w:b/>
          <w:sz w:val="24"/>
          <w:szCs w:val="24"/>
          <w:u w:val="single"/>
        </w:rPr>
        <w:t xml:space="preserve">Die acht Indikatoren beurteilen den Fortschritt in folgenden vorrangigen </w:t>
      </w:r>
      <w:r w:rsidR="00D2701A" w:rsidRPr="0067553F">
        <w:rPr>
          <w:b/>
          <w:sz w:val="24"/>
          <w:szCs w:val="24"/>
          <w:u w:val="single"/>
        </w:rPr>
        <w:t>CMU-B</w:t>
      </w:r>
      <w:r w:rsidRPr="0067553F">
        <w:rPr>
          <w:b/>
          <w:sz w:val="24"/>
          <w:szCs w:val="24"/>
          <w:u w:val="single"/>
        </w:rPr>
        <w:t>ereichen:</w:t>
      </w:r>
    </w:p>
    <w:p w14:paraId="631F42A6" w14:textId="527852A2" w:rsidR="00416F71" w:rsidRPr="0067553F" w:rsidRDefault="00416F71" w:rsidP="00A4518F">
      <w:pPr>
        <w:numPr>
          <w:ilvl w:val="0"/>
          <w:numId w:val="29"/>
        </w:numPr>
        <w:spacing w:line="240" w:lineRule="auto"/>
        <w:jc w:val="both"/>
        <w:rPr>
          <w:rFonts w:cs="Calibri"/>
        </w:rPr>
      </w:pPr>
      <w:r w:rsidRPr="0067553F">
        <w:rPr>
          <w:u w:val="single"/>
        </w:rPr>
        <w:t>Marktfinanzierungsindikator</w:t>
      </w:r>
      <w:r w:rsidRPr="0067553F">
        <w:t>: Wie leicht ist es für Unternehmen, sich Zutritt zu den öffentlichen Märkten zu verschaffen und dort Kapital aufzunehmen?</w:t>
      </w:r>
    </w:p>
    <w:p w14:paraId="414CBAAA" w14:textId="2B2052B0" w:rsidR="00416F71" w:rsidRPr="0067553F" w:rsidRDefault="00416F71" w:rsidP="00A4518F">
      <w:pPr>
        <w:numPr>
          <w:ilvl w:val="0"/>
          <w:numId w:val="29"/>
        </w:numPr>
        <w:spacing w:line="240" w:lineRule="auto"/>
        <w:jc w:val="both"/>
        <w:rPr>
          <w:rFonts w:cs="Calibri"/>
        </w:rPr>
      </w:pPr>
      <w:r w:rsidRPr="0067553F">
        <w:rPr>
          <w:u w:val="single"/>
        </w:rPr>
        <w:t>Indikator für Investitionen der privaten Haushalte</w:t>
      </w:r>
      <w:r w:rsidRPr="0067553F">
        <w:t>: Inwieweit werden Investitionen der privaten Haushalte gefördert?</w:t>
      </w:r>
    </w:p>
    <w:p w14:paraId="37A1D5DD" w14:textId="41B72C37" w:rsidR="00416F71" w:rsidRPr="0067553F" w:rsidRDefault="00416F71" w:rsidP="00A4518F">
      <w:pPr>
        <w:numPr>
          <w:ilvl w:val="0"/>
          <w:numId w:val="29"/>
        </w:numPr>
        <w:spacing w:line="240" w:lineRule="auto"/>
        <w:jc w:val="both"/>
        <w:rPr>
          <w:rFonts w:cs="Calibri"/>
        </w:rPr>
      </w:pPr>
      <w:r w:rsidRPr="0067553F">
        <w:rPr>
          <w:u w:val="single"/>
        </w:rPr>
        <w:t>Indikator für den Kredittransfer</w:t>
      </w:r>
      <w:r w:rsidRPr="0067553F">
        <w:t xml:space="preserve">: Inwieweit unterstützen die Bankenkapazitäten die Gesamtwirtschaft? </w:t>
      </w:r>
    </w:p>
    <w:p w14:paraId="2B28249B" w14:textId="57239627" w:rsidR="00CA51C8" w:rsidRPr="0067553F" w:rsidRDefault="00CA51C8" w:rsidP="00A4518F">
      <w:pPr>
        <w:numPr>
          <w:ilvl w:val="0"/>
          <w:numId w:val="29"/>
        </w:numPr>
        <w:spacing w:line="240" w:lineRule="auto"/>
        <w:jc w:val="both"/>
        <w:rPr>
          <w:rFonts w:cs="Calibri"/>
        </w:rPr>
      </w:pPr>
      <w:r w:rsidRPr="0067553F">
        <w:rPr>
          <w:u w:val="single"/>
        </w:rPr>
        <w:t>FinTech-Indikator:</w:t>
      </w:r>
      <w:r w:rsidRPr="0067553F">
        <w:t xml:space="preserve"> Wie gut ermöglichen die einzelnen Länder Geldanlagen in FinTech?</w:t>
      </w:r>
    </w:p>
    <w:p w14:paraId="56964B69" w14:textId="022394ED" w:rsidR="00416F71" w:rsidRPr="0067553F" w:rsidRDefault="00416F71" w:rsidP="00A4518F">
      <w:pPr>
        <w:numPr>
          <w:ilvl w:val="0"/>
          <w:numId w:val="29"/>
        </w:numPr>
        <w:spacing w:line="240" w:lineRule="auto"/>
        <w:jc w:val="both"/>
        <w:rPr>
          <w:rFonts w:cs="Calibri"/>
        </w:rPr>
      </w:pPr>
      <w:r w:rsidRPr="0067553F">
        <w:rPr>
          <w:u w:val="single"/>
        </w:rPr>
        <w:t>Indikator für nachhaltige Finanzierung</w:t>
      </w:r>
      <w:r w:rsidRPr="0067553F">
        <w:t>: Inwieweit werden langfristige Investitionen in Infrastruktur und nachhaltige Anlagen vorgenommen?</w:t>
      </w:r>
    </w:p>
    <w:p w14:paraId="5ED7E9F6" w14:textId="7E02DDA6" w:rsidR="00416F71" w:rsidRPr="0067553F" w:rsidRDefault="00416F71" w:rsidP="00A4518F">
      <w:pPr>
        <w:numPr>
          <w:ilvl w:val="0"/>
          <w:numId w:val="29"/>
        </w:numPr>
        <w:spacing w:line="240" w:lineRule="auto"/>
        <w:jc w:val="both"/>
        <w:rPr>
          <w:rFonts w:cs="Calibri"/>
        </w:rPr>
      </w:pPr>
      <w:r w:rsidRPr="0067553F">
        <w:rPr>
          <w:u w:val="single"/>
        </w:rPr>
        <w:t>Prä-IPO-Risikokapitalindikator</w:t>
      </w:r>
      <w:r w:rsidRPr="0067553F">
        <w:t>: Wie gut sind Startups und nicht-börsennotierte Unternehmen in der Lage, sich Finanzierungen für Innovationen zu beschaffen?</w:t>
      </w:r>
    </w:p>
    <w:p w14:paraId="1C377503" w14:textId="40A71DC2" w:rsidR="00416F71" w:rsidRPr="0067553F" w:rsidRDefault="00416F71" w:rsidP="00A4518F">
      <w:pPr>
        <w:numPr>
          <w:ilvl w:val="0"/>
          <w:numId w:val="29"/>
        </w:numPr>
        <w:spacing w:line="240" w:lineRule="auto"/>
        <w:jc w:val="both"/>
        <w:rPr>
          <w:rFonts w:cs="Calibri"/>
        </w:rPr>
      </w:pPr>
      <w:r w:rsidRPr="0067553F">
        <w:rPr>
          <w:u w:val="single"/>
        </w:rPr>
        <w:t>Indikator für grenzüberschreitende Finanzierung</w:t>
      </w:r>
      <w:r w:rsidRPr="0067553F">
        <w:t xml:space="preserve">; Inwieweit wird grenzüberschreitende Finanzierung ermöglicht? </w:t>
      </w:r>
    </w:p>
    <w:p w14:paraId="1690A41F" w14:textId="612CAC83" w:rsidR="00416F71" w:rsidRPr="0067553F" w:rsidRDefault="00416F71" w:rsidP="00A4518F">
      <w:pPr>
        <w:numPr>
          <w:ilvl w:val="0"/>
          <w:numId w:val="29"/>
        </w:numPr>
        <w:spacing w:line="240" w:lineRule="auto"/>
        <w:jc w:val="both"/>
        <w:rPr>
          <w:rFonts w:cs="Calibri"/>
        </w:rPr>
      </w:pPr>
      <w:r w:rsidRPr="0067553F">
        <w:rPr>
          <w:u w:val="single"/>
        </w:rPr>
        <w:t>Markttiefenindikator</w:t>
      </w:r>
      <w:r w:rsidRPr="0067553F">
        <w:t>: Wie tief und liquide sind die EU-Kapitalmärkte?</w:t>
      </w:r>
    </w:p>
    <w:p w14:paraId="25EF204A" w14:textId="250A6107" w:rsidR="00416F71" w:rsidRPr="0067553F" w:rsidRDefault="00416F71" w:rsidP="00A4518F">
      <w:pPr>
        <w:spacing w:line="240" w:lineRule="auto"/>
        <w:jc w:val="both"/>
        <w:rPr>
          <w:rFonts w:cs="Calibri"/>
          <w:lang w:eastAsia="en-US"/>
        </w:rPr>
      </w:pPr>
    </w:p>
    <w:p w14:paraId="2A475F0A" w14:textId="5ADC4C5C" w:rsidR="007A1D42" w:rsidRPr="0067553F" w:rsidRDefault="007A1D42" w:rsidP="0040580A">
      <w:pPr>
        <w:spacing w:line="240" w:lineRule="auto"/>
        <w:jc w:val="both"/>
        <w:outlineLvl w:val="0"/>
        <w:rPr>
          <w:rFonts w:cs="Calibri"/>
          <w:b/>
          <w:sz w:val="24"/>
          <w:szCs w:val="24"/>
          <w:u w:val="single"/>
        </w:rPr>
      </w:pPr>
      <w:r w:rsidRPr="0067553F">
        <w:rPr>
          <w:b/>
          <w:sz w:val="24"/>
          <w:szCs w:val="24"/>
          <w:u w:val="single"/>
        </w:rPr>
        <w:t>Einige der wichtigsten Ergebnisse des Berichts:</w:t>
      </w:r>
    </w:p>
    <w:p w14:paraId="563D747C" w14:textId="4244FDD0" w:rsidR="008A7448" w:rsidRPr="0067553F" w:rsidRDefault="008A7448" w:rsidP="00A4518F">
      <w:pPr>
        <w:pStyle w:val="ListParagraph"/>
        <w:numPr>
          <w:ilvl w:val="0"/>
          <w:numId w:val="30"/>
        </w:numPr>
        <w:spacing w:line="240" w:lineRule="auto"/>
        <w:jc w:val="both"/>
        <w:rPr>
          <w:rFonts w:cs="Calibri"/>
        </w:rPr>
      </w:pPr>
      <w:r w:rsidRPr="0067553F">
        <w:rPr>
          <w:b/>
        </w:rPr>
        <w:t>Europa konnte seine weltweite Führungsrolle bei der nachhaltigen Finanzwirtschaft stärken</w:t>
      </w:r>
    </w:p>
    <w:p w14:paraId="409582DA" w14:textId="5BAB3CBF" w:rsidR="008A7448" w:rsidRPr="0067553F" w:rsidRDefault="00F77647" w:rsidP="00A4518F">
      <w:pPr>
        <w:spacing w:line="240" w:lineRule="auto"/>
        <w:jc w:val="both"/>
        <w:rPr>
          <w:rFonts w:ascii="Cambria" w:hAnsi="Cambria"/>
        </w:rPr>
      </w:pPr>
      <w:r w:rsidRPr="0067553F">
        <w:rPr>
          <w:rFonts w:ascii="Cambria" w:hAnsi="Cambria"/>
        </w:rPr>
        <w:t>Die Emissionen von grünen, sozialen und so genannten „dual-purpose“-Anleihen (also Anleihen, die sowohl der Definition für grüne als auch der für soziale Anleihen entsprechen) stiegen in der EU im Jahr 2018 um 16 % auf 69 Mrd. EUR – ein Anstieg um 9 Mrd. EUR gegenüber 2017.</w:t>
      </w:r>
    </w:p>
    <w:p w14:paraId="53464F1E" w14:textId="4B5602AC" w:rsidR="00A162A3" w:rsidRPr="0067553F" w:rsidRDefault="00A162A3" w:rsidP="00A4518F">
      <w:pPr>
        <w:spacing w:line="240" w:lineRule="auto"/>
        <w:jc w:val="both"/>
        <w:rPr>
          <w:rFonts w:ascii="Cambria" w:hAnsi="Cambria"/>
        </w:rPr>
      </w:pPr>
    </w:p>
    <w:p w14:paraId="0DA8FE4F" w14:textId="0AD11248" w:rsidR="00A162A3" w:rsidRPr="0067553F" w:rsidRDefault="00A162A3" w:rsidP="00A4518F">
      <w:pPr>
        <w:pStyle w:val="ListParagraph"/>
        <w:numPr>
          <w:ilvl w:val="0"/>
          <w:numId w:val="30"/>
        </w:numPr>
        <w:spacing w:line="240" w:lineRule="auto"/>
        <w:jc w:val="both"/>
        <w:rPr>
          <w:rFonts w:ascii="Cambria" w:hAnsi="Cambria"/>
        </w:rPr>
      </w:pPr>
      <w:r w:rsidRPr="0067553F">
        <w:rPr>
          <w:rFonts w:ascii="Cambria" w:hAnsi="Cambria"/>
          <w:b/>
        </w:rPr>
        <w:t>EU 27 bei FinTech-Finanzierung im Rückstand</w:t>
      </w:r>
    </w:p>
    <w:p w14:paraId="0BC3FF4E" w14:textId="607125D6" w:rsidR="00A162A3" w:rsidRPr="0067553F" w:rsidRDefault="00A162A3" w:rsidP="00A4518F">
      <w:pPr>
        <w:spacing w:line="240" w:lineRule="auto"/>
        <w:jc w:val="both"/>
        <w:rPr>
          <w:rFonts w:ascii="Cambria" w:hAnsi="Cambria"/>
        </w:rPr>
      </w:pPr>
      <w:r w:rsidRPr="0067553F">
        <w:rPr>
          <w:rFonts w:ascii="Cambria" w:hAnsi="Cambria"/>
        </w:rPr>
        <w:lastRenderedPageBreak/>
        <w:t>FinTech-Unternehmen aus den 27 EU-Staaten konnten seit 2009 nur 7,2 Mrd. USD einnehmen (Venture-, Seed-, Angel-Kapital und Private Equity). Zum Vergleich: in den USA lag dieser Betrag bei 120 Mrd. USD, in Großbritannien bei 20,3 Mrd. USD und in China bei 23,8 Mrd. USD.  Die Führungsrolle Großbritanniens ist auf das dort geeignete regulatorische Umfeld und attraktive lokale Finanzierungsumfeld für neue Unternehmen zurückzuführen.</w:t>
      </w:r>
    </w:p>
    <w:p w14:paraId="6FC56F03" w14:textId="0440B1FE" w:rsidR="00826458" w:rsidRPr="0067553F" w:rsidRDefault="00826458" w:rsidP="00A4518F">
      <w:pPr>
        <w:spacing w:line="240" w:lineRule="auto"/>
        <w:jc w:val="both"/>
        <w:rPr>
          <w:rFonts w:ascii="Cambria" w:hAnsi="Cambria"/>
        </w:rPr>
      </w:pPr>
    </w:p>
    <w:p w14:paraId="2B808464" w14:textId="77777777" w:rsidR="00826458" w:rsidRPr="0067553F" w:rsidDel="008A7448" w:rsidRDefault="00826458" w:rsidP="00826458">
      <w:pPr>
        <w:pStyle w:val="ListParagraph"/>
        <w:numPr>
          <w:ilvl w:val="0"/>
          <w:numId w:val="30"/>
        </w:numPr>
        <w:spacing w:line="240" w:lineRule="auto"/>
        <w:jc w:val="both"/>
        <w:rPr>
          <w:rFonts w:cs="Calibri"/>
          <w:b/>
        </w:rPr>
      </w:pPr>
      <w:r w:rsidRPr="0067553F">
        <w:rPr>
          <w:b/>
        </w:rPr>
        <w:t xml:space="preserve">Europa verlässt sich immer stärker auf Bankfinanzierungen </w:t>
      </w:r>
    </w:p>
    <w:p w14:paraId="7C63CC1D" w14:textId="77777777" w:rsidR="00826458" w:rsidRPr="0067553F" w:rsidDel="008A7448" w:rsidRDefault="00826458" w:rsidP="00826458">
      <w:pPr>
        <w:spacing w:line="240" w:lineRule="auto"/>
        <w:jc w:val="both"/>
        <w:rPr>
          <w:rFonts w:cs="Calibri"/>
        </w:rPr>
      </w:pPr>
      <w:r w:rsidRPr="0067553F">
        <w:t xml:space="preserve">Europäische Unternehmen verlassen sich weiterhin zu stark auf Bankfinanzierungen: 88 % der Neufinanzierungen 2018 stammten von Banken und nur 12 % von den Kapitalmärkten. Gegenüber dem Zeitraum 2013-2017, in dem diese Quote 14 % betrug, ging der Wert also sogar zurück.    </w:t>
      </w:r>
    </w:p>
    <w:p w14:paraId="40F8FFF7" w14:textId="77777777" w:rsidR="00826458" w:rsidRPr="0067553F" w:rsidRDefault="00826458" w:rsidP="00A4518F">
      <w:pPr>
        <w:spacing w:line="240" w:lineRule="auto"/>
        <w:jc w:val="both"/>
        <w:rPr>
          <w:rFonts w:ascii="Cambria" w:hAnsi="Cambria"/>
        </w:rPr>
      </w:pPr>
    </w:p>
    <w:p w14:paraId="1EBF9514" w14:textId="36C6D0E5" w:rsidR="00520EC8" w:rsidRPr="0067553F" w:rsidRDefault="00520EC8" w:rsidP="00A4518F">
      <w:pPr>
        <w:spacing w:line="240" w:lineRule="auto"/>
        <w:jc w:val="both"/>
        <w:rPr>
          <w:rFonts w:ascii="Cambria" w:hAnsi="Cambria"/>
        </w:rPr>
      </w:pPr>
    </w:p>
    <w:p w14:paraId="74925B35" w14:textId="77777777" w:rsidR="00520EC8" w:rsidRPr="0067553F" w:rsidRDefault="00520EC8" w:rsidP="00520EC8">
      <w:pPr>
        <w:numPr>
          <w:ilvl w:val="0"/>
          <w:numId w:val="30"/>
        </w:numPr>
        <w:spacing w:line="240" w:lineRule="auto"/>
        <w:jc w:val="both"/>
        <w:rPr>
          <w:rFonts w:ascii="Cambria" w:hAnsi="Cambria"/>
          <w:b/>
        </w:rPr>
      </w:pPr>
      <w:r w:rsidRPr="0067553F">
        <w:rPr>
          <w:rFonts w:ascii="Cambria" w:hAnsi="Cambria"/>
          <w:b/>
        </w:rPr>
        <w:t>Verfügbarkeit von Kapitalpools in Europa 2018 rückläufig</w:t>
      </w:r>
    </w:p>
    <w:p w14:paraId="2DC1E69B" w14:textId="77777777" w:rsidR="00520EC8" w:rsidRPr="0067553F" w:rsidRDefault="00520EC8" w:rsidP="00520EC8">
      <w:pPr>
        <w:spacing w:line="240" w:lineRule="auto"/>
        <w:jc w:val="both"/>
        <w:rPr>
          <w:rFonts w:ascii="Cambria" w:hAnsi="Cambria"/>
          <w:b/>
        </w:rPr>
      </w:pPr>
      <w:r w:rsidRPr="0067553F">
        <w:rPr>
          <w:rFonts w:ascii="Cambria" w:hAnsi="Cambria"/>
        </w:rPr>
        <w:t xml:space="preserve">Durch zeitweilig sinkende Aktienkurse ging der Wert der von Privathaushalten in Kapitalmarktinstrumenten in der EU angelegten Ersparnissen (z. B. Aktien, Investmentfondsanteile, Anleihen, Versicherungen und Renten) von durchschnittlich 118 % des BIP im Jahr 2017 auf 113 % des BIP im Jahr 2018 zurück. </w:t>
      </w:r>
    </w:p>
    <w:p w14:paraId="3DB152FB" w14:textId="77777777" w:rsidR="00A162A3" w:rsidRPr="0067553F" w:rsidRDefault="00A162A3" w:rsidP="00A4518F">
      <w:pPr>
        <w:spacing w:line="240" w:lineRule="auto"/>
        <w:jc w:val="both"/>
        <w:rPr>
          <w:rFonts w:ascii="Cambria" w:hAnsi="Cambria"/>
        </w:rPr>
      </w:pPr>
    </w:p>
    <w:p w14:paraId="42C9C867" w14:textId="2BF2C562" w:rsidR="008A7448" w:rsidRPr="0067553F" w:rsidRDefault="00F3453F" w:rsidP="00A4518F">
      <w:pPr>
        <w:pStyle w:val="ListParagraph"/>
        <w:numPr>
          <w:ilvl w:val="0"/>
          <w:numId w:val="30"/>
        </w:numPr>
        <w:spacing w:line="240" w:lineRule="auto"/>
        <w:jc w:val="both"/>
        <w:rPr>
          <w:rFonts w:cs="Calibri"/>
          <w:b/>
        </w:rPr>
      </w:pPr>
      <w:r w:rsidRPr="0067553F">
        <w:rPr>
          <w:b/>
        </w:rPr>
        <w:t>Europa steigert den Betrag des für KMU zur Verfügung stehenden Risikokapitals weiter, um deren Wachstum zu finanzieren</w:t>
      </w:r>
    </w:p>
    <w:p w14:paraId="455DE446" w14:textId="456587EA" w:rsidR="008A7448" w:rsidRPr="0067553F" w:rsidRDefault="00F3453F" w:rsidP="00A4518F">
      <w:pPr>
        <w:spacing w:line="240" w:lineRule="auto"/>
        <w:jc w:val="both"/>
        <w:rPr>
          <w:rFonts w:ascii="Cambria" w:hAnsi="Cambria"/>
        </w:rPr>
      </w:pPr>
      <w:r w:rsidRPr="0067553F">
        <w:rPr>
          <w:rFonts w:ascii="Cambria" w:hAnsi="Cambria"/>
        </w:rPr>
        <w:t>Das Investitionsvolumen in KMU aus Equity Crowdfunding stieg im Vergleich zum Vorjahr um 24 %, aus Venture-Capital um 12 %, aus Private-Equity-Wachstumsfonds und Business-Angel-Finanzierungen jeweils um 8 % und aus neuen KMU-Bankfinanzierungen um 5 %. Risikokapital vor dem Börsengang machte 2,64 % des jährlichen Finanzierungsstroms der KMU aus (einschließlich Bankfinanzierungen), gegenüber 2,55 % im Jahr 2017 und 1,4 % im Jahr 2013.</w:t>
      </w:r>
    </w:p>
    <w:p w14:paraId="631C043B" w14:textId="77777777" w:rsidR="00F3453F" w:rsidRPr="0067553F" w:rsidRDefault="00F3453F" w:rsidP="00A4518F">
      <w:pPr>
        <w:spacing w:line="240" w:lineRule="auto"/>
        <w:jc w:val="both"/>
        <w:rPr>
          <w:rFonts w:cs="Calibri"/>
          <w:lang w:eastAsia="en-US"/>
        </w:rPr>
      </w:pPr>
    </w:p>
    <w:p w14:paraId="4C5ECF25" w14:textId="4B70E4C9" w:rsidR="00F3453F" w:rsidRPr="0067553F" w:rsidRDefault="00520EC8" w:rsidP="00A4518F">
      <w:pPr>
        <w:pStyle w:val="ListParagraph"/>
        <w:numPr>
          <w:ilvl w:val="0"/>
          <w:numId w:val="30"/>
        </w:numPr>
        <w:spacing w:line="240" w:lineRule="auto"/>
        <w:jc w:val="both"/>
        <w:rPr>
          <w:rFonts w:ascii="Cambria" w:hAnsi="Cambria"/>
        </w:rPr>
      </w:pPr>
      <w:r w:rsidRPr="0067553F">
        <w:rPr>
          <w:rFonts w:ascii="Cambria" w:hAnsi="Cambria"/>
          <w:b/>
        </w:rPr>
        <w:t>Das Ökosystem der EU-Kapitalmärkte erlitt 2018 Einbußen</w:t>
      </w:r>
      <w:r w:rsidRPr="0067553F">
        <w:rPr>
          <w:rFonts w:ascii="Cambria" w:hAnsi="Cambria"/>
        </w:rPr>
        <w:t xml:space="preserve"> </w:t>
      </w:r>
    </w:p>
    <w:p w14:paraId="00B9A383" w14:textId="769EE3E7" w:rsidR="0043709E" w:rsidRPr="0067553F" w:rsidRDefault="00520EC8" w:rsidP="00A4518F">
      <w:pPr>
        <w:spacing w:line="240" w:lineRule="auto"/>
        <w:jc w:val="both"/>
        <w:rPr>
          <w:rFonts w:ascii="Cambria" w:hAnsi="Cambria"/>
        </w:rPr>
      </w:pPr>
      <w:r w:rsidRPr="0067553F">
        <w:rPr>
          <w:rFonts w:ascii="Cambria" w:hAnsi="Cambria"/>
        </w:rPr>
        <w:t>Hauptgrund für diese Entwicklung waren die rückläufigen Emissionen von Marktinstrumenten wie Aktien und Anleihen und der geringere Gesamtwert der Ersparnisse privater Haushalte nach dem Abschmelzen der Vermögenspreise Ende 2018 (wie oben erwähnt)</w:t>
      </w:r>
      <w:r w:rsidRPr="0067553F">
        <w:rPr>
          <w:rFonts w:ascii="Cambria" w:hAnsi="Cambria"/>
          <w:b/>
        </w:rPr>
        <w:t>.</w:t>
      </w:r>
      <w:r w:rsidRPr="0067553F">
        <w:rPr>
          <w:rFonts w:ascii="Cambria" w:hAnsi="Cambria"/>
        </w:rPr>
        <w:t xml:space="preserve"> Die Zunahme der Aktien- und Anleihen</w:t>
      </w:r>
      <w:r w:rsidR="000027EF" w:rsidRPr="0067553F">
        <w:rPr>
          <w:rFonts w:ascii="Cambria" w:hAnsi="Cambria"/>
        </w:rPr>
        <w:t>-E</w:t>
      </w:r>
      <w:r w:rsidRPr="0067553F">
        <w:rPr>
          <w:rFonts w:ascii="Cambria" w:hAnsi="Cambria"/>
        </w:rPr>
        <w:t>rstemissionen in Zentral- und Osteuropa (CEE) war jedoch ermutigend.</w:t>
      </w:r>
    </w:p>
    <w:p w14:paraId="545D1A88" w14:textId="77777777" w:rsidR="00F3453F" w:rsidRPr="0067553F" w:rsidRDefault="00F3453F" w:rsidP="00A4518F">
      <w:pPr>
        <w:spacing w:line="240" w:lineRule="auto"/>
        <w:jc w:val="both"/>
        <w:rPr>
          <w:rFonts w:cs="Calibri"/>
          <w:lang w:eastAsia="en-US"/>
        </w:rPr>
      </w:pPr>
    </w:p>
    <w:p w14:paraId="1AE6E4FB" w14:textId="20910F81" w:rsidR="0043709E" w:rsidRPr="0067553F" w:rsidRDefault="00023EB9" w:rsidP="00A4518F">
      <w:pPr>
        <w:pStyle w:val="ListParagraph"/>
        <w:numPr>
          <w:ilvl w:val="0"/>
          <w:numId w:val="30"/>
        </w:numPr>
        <w:spacing w:line="240" w:lineRule="auto"/>
        <w:jc w:val="both"/>
        <w:rPr>
          <w:rFonts w:cs="Calibri"/>
        </w:rPr>
      </w:pPr>
      <w:r w:rsidRPr="0067553F">
        <w:rPr>
          <w:b/>
        </w:rPr>
        <w:t xml:space="preserve">Mehr Kreditausfälle in Kapitalmarktinstrumente umgewandelt </w:t>
      </w:r>
    </w:p>
    <w:p w14:paraId="7045DA93" w14:textId="3F4EFAD5" w:rsidR="0043709E" w:rsidRPr="0067553F" w:rsidRDefault="00023EB9" w:rsidP="00A4518F">
      <w:pPr>
        <w:spacing w:line="240" w:lineRule="auto"/>
        <w:jc w:val="both"/>
        <w:rPr>
          <w:rFonts w:cs="Calibri"/>
        </w:rPr>
      </w:pPr>
      <w:r w:rsidRPr="0067553F">
        <w:t>Banken in der EU veräußerten 2018 32 % mehr Kreditportfolios als im Vorjahr und mit 182 Mrd. EUR war der Betrag so hoch wie nie. Ausgelöst wurde diese Entwicklung durch ein weiteres Jahr, in dem der Markt für notleidende Kredite stark wuchs, weil die Banken in den EU-Ländern diese Problemkredite infolge regulatorischer Entwicklungen schneller abstießen.</w:t>
      </w:r>
    </w:p>
    <w:p w14:paraId="70CF7283" w14:textId="1813AD0C" w:rsidR="001B2A09" w:rsidRPr="0067553F" w:rsidRDefault="001B2A09" w:rsidP="00A4518F">
      <w:pPr>
        <w:spacing w:line="240" w:lineRule="auto"/>
        <w:jc w:val="both"/>
        <w:rPr>
          <w:rFonts w:cs="Calibri"/>
          <w:lang w:eastAsia="en-US"/>
        </w:rPr>
      </w:pPr>
    </w:p>
    <w:p w14:paraId="60193298" w14:textId="486D2A1E" w:rsidR="001B2A09" w:rsidRPr="0067553F" w:rsidRDefault="00461ED3" w:rsidP="0040580A">
      <w:pPr>
        <w:spacing w:line="240" w:lineRule="auto"/>
        <w:jc w:val="both"/>
        <w:outlineLvl w:val="0"/>
        <w:rPr>
          <w:rFonts w:cs="Calibri"/>
          <w:b/>
          <w:sz w:val="24"/>
          <w:szCs w:val="24"/>
          <w:u w:val="single"/>
        </w:rPr>
      </w:pPr>
      <w:r w:rsidRPr="0067553F">
        <w:rPr>
          <w:b/>
          <w:sz w:val="24"/>
          <w:szCs w:val="24"/>
          <w:u w:val="single"/>
        </w:rPr>
        <w:t xml:space="preserve">Performance der 28 EU-Staaten nach Ländern </w:t>
      </w:r>
    </w:p>
    <w:p w14:paraId="74276485" w14:textId="0AA3F13B" w:rsidR="00C74427" w:rsidRPr="0067553F" w:rsidRDefault="00C74427" w:rsidP="00A4518F">
      <w:pPr>
        <w:jc w:val="both"/>
        <w:rPr>
          <w:rFonts w:cs="Calibri"/>
        </w:rPr>
      </w:pPr>
      <w:r w:rsidRPr="0067553F">
        <w:t xml:space="preserve">Anhand der einzelnen Indikatoren wurde ein Vergleich der 28 EU-Mitgliedstaaten und ihrer individuellen Performance durchgeführt – die Ergebnisse sind auf Seite 10 des Berichts aufgeführt. Zu den wichtigsten Ergebnissen: </w:t>
      </w:r>
    </w:p>
    <w:p w14:paraId="264837A8" w14:textId="77777777" w:rsidR="00C74427" w:rsidRPr="0067553F" w:rsidRDefault="00C74427" w:rsidP="00A4518F">
      <w:pPr>
        <w:spacing w:line="240" w:lineRule="auto"/>
        <w:jc w:val="both"/>
        <w:rPr>
          <w:rFonts w:cs="Calibri"/>
          <w:lang w:eastAsia="en-US"/>
        </w:rPr>
      </w:pPr>
    </w:p>
    <w:p w14:paraId="3B8BECE4" w14:textId="55C9E1B6" w:rsidR="00C74427" w:rsidRPr="0067553F" w:rsidRDefault="00DD6543" w:rsidP="00A4518F">
      <w:pPr>
        <w:pStyle w:val="ListParagraph"/>
        <w:numPr>
          <w:ilvl w:val="0"/>
          <w:numId w:val="30"/>
        </w:numPr>
        <w:spacing w:line="240" w:lineRule="auto"/>
        <w:jc w:val="both"/>
        <w:rPr>
          <w:rFonts w:cs="Calibri"/>
        </w:rPr>
      </w:pPr>
      <w:r w:rsidRPr="0067553F">
        <w:rPr>
          <w:b/>
        </w:rPr>
        <w:t>Großbritannien</w:t>
      </w:r>
      <w:r w:rsidRPr="0067553F">
        <w:t xml:space="preserve"> </w:t>
      </w:r>
      <w:r w:rsidR="00C74427" w:rsidRPr="0067553F">
        <w:t xml:space="preserve">steht in der EU an der Spitze bei der Bereitstellung neuer Anleihen- oder Beteiligungsfinanzierungen für Nichtfinanzgesellschaften (NFCs): 26 % der Neufinanzierungen stammten von den Märkten. Die </w:t>
      </w:r>
      <w:r w:rsidR="00C74427" w:rsidRPr="0067553F">
        <w:rPr>
          <w:b/>
        </w:rPr>
        <w:t>Niederlande und Frankreich</w:t>
      </w:r>
      <w:r w:rsidR="00C74427" w:rsidRPr="0067553F">
        <w:t xml:space="preserve"> folgen gleich dahinter: in beiden Ländern stammten 18 % der gesamten Neufinanzierungen aus Marktinstrumenten. Zusammen konnten </w:t>
      </w:r>
      <w:r w:rsidR="00C74427" w:rsidRPr="0067553F">
        <w:rPr>
          <w:b/>
        </w:rPr>
        <w:t>Großbritannien, Frankreich und die Niederlande</w:t>
      </w:r>
      <w:r w:rsidR="00C74427" w:rsidRPr="0067553F">
        <w:t xml:space="preserve"> im Jahr 2018 49 % der Neufinanzierungen für Nichtfinanzgesellschaften an den Kapitalmärkten beschaffen. Nur drei Länder – </w:t>
      </w:r>
      <w:r w:rsidR="00C74427" w:rsidRPr="0067553F">
        <w:rPr>
          <w:b/>
        </w:rPr>
        <w:t xml:space="preserve">Kroatien, Zypern und </w:t>
      </w:r>
      <w:r w:rsidR="00C74427" w:rsidRPr="0067553F">
        <w:rPr>
          <w:b/>
        </w:rPr>
        <w:lastRenderedPageBreak/>
        <w:t>Slowenien</w:t>
      </w:r>
      <w:r w:rsidR="00C74427" w:rsidRPr="0067553F">
        <w:t xml:space="preserve"> – nutzten 2018 die Märkte überhaupt nicht für die Finanzierung von Nichtfinanzgesellschaften.</w:t>
      </w:r>
    </w:p>
    <w:p w14:paraId="56E6BD09" w14:textId="77777777" w:rsidR="00B22FEB" w:rsidRPr="0067553F" w:rsidRDefault="00B22FEB" w:rsidP="00A4518F">
      <w:pPr>
        <w:pStyle w:val="ListParagraph"/>
        <w:spacing w:line="240" w:lineRule="auto"/>
        <w:ind w:left="502"/>
        <w:jc w:val="both"/>
        <w:rPr>
          <w:rFonts w:cs="Calibri"/>
          <w:lang w:eastAsia="en-US"/>
        </w:rPr>
      </w:pPr>
    </w:p>
    <w:p w14:paraId="020BBDE6" w14:textId="58E99130" w:rsidR="00C74427" w:rsidRPr="0067553F" w:rsidRDefault="00C74427" w:rsidP="00A4518F">
      <w:pPr>
        <w:pStyle w:val="ListParagraph"/>
        <w:numPr>
          <w:ilvl w:val="0"/>
          <w:numId w:val="30"/>
        </w:numPr>
        <w:spacing w:line="240" w:lineRule="auto"/>
        <w:jc w:val="both"/>
        <w:rPr>
          <w:rFonts w:cs="Calibri"/>
        </w:rPr>
      </w:pPr>
      <w:r w:rsidRPr="0067553F">
        <w:t xml:space="preserve">In den </w:t>
      </w:r>
      <w:r w:rsidRPr="0067553F">
        <w:rPr>
          <w:b/>
          <w:bCs/>
        </w:rPr>
        <w:t xml:space="preserve">Niederlanden, Großbritannien und Dänemark </w:t>
      </w:r>
      <w:r w:rsidRPr="0067553F">
        <w:t xml:space="preserve">verfügen die privaten Haushalte über die meisten in Marktinstrumenten angelegten Ersparnisse: hier ist die private Altersvorsorge stärker verbreitet. Alle Länder außer </w:t>
      </w:r>
      <w:r w:rsidRPr="0067553F">
        <w:rPr>
          <w:b/>
          <w:bCs/>
        </w:rPr>
        <w:t>Zypern und Griechenland</w:t>
      </w:r>
      <w:r w:rsidRPr="0067553F">
        <w:t xml:space="preserve"> konnten 2018 die Summe der Ersparnisse in Form von Barmitteln und Einlagen steigern.</w:t>
      </w:r>
    </w:p>
    <w:p w14:paraId="1780D695" w14:textId="77777777" w:rsidR="00C74427" w:rsidRPr="0067553F" w:rsidRDefault="00C74427" w:rsidP="00A4518F">
      <w:pPr>
        <w:spacing w:line="240" w:lineRule="auto"/>
        <w:jc w:val="both"/>
        <w:rPr>
          <w:rFonts w:cs="Calibri"/>
          <w:lang w:eastAsia="en-US"/>
        </w:rPr>
      </w:pPr>
    </w:p>
    <w:p w14:paraId="44B4C42F" w14:textId="07E516FB" w:rsidR="00C74427" w:rsidRPr="0067553F" w:rsidRDefault="00C74427" w:rsidP="00A4518F">
      <w:pPr>
        <w:pStyle w:val="ListParagraph"/>
        <w:numPr>
          <w:ilvl w:val="0"/>
          <w:numId w:val="30"/>
        </w:numPr>
        <w:spacing w:line="240" w:lineRule="auto"/>
        <w:jc w:val="both"/>
        <w:rPr>
          <w:rFonts w:cs="Calibri"/>
        </w:rPr>
      </w:pPr>
      <w:r w:rsidRPr="0067553F">
        <w:rPr>
          <w:b/>
        </w:rPr>
        <w:t>Irland, Italien, Portugal, Zypern und Spanien</w:t>
      </w:r>
      <w:r w:rsidRPr="0067553F">
        <w:t xml:space="preserve"> (Länder mit hoher Kreditausfallquote) lagen im Jahr 2018 im Kreditübertragungsindex in den Top Ten, weil die Banken weiterhin Marktinstrumente zur Veräußerung notleidender Vermögenswerte einsetzen. </w:t>
      </w:r>
    </w:p>
    <w:p w14:paraId="65D71670" w14:textId="77777777" w:rsidR="00C74427" w:rsidRPr="0067553F" w:rsidRDefault="00C74427" w:rsidP="00A4518F">
      <w:pPr>
        <w:pStyle w:val="ListParagraph"/>
        <w:spacing w:line="240" w:lineRule="auto"/>
        <w:jc w:val="both"/>
        <w:rPr>
          <w:rFonts w:cs="Calibri"/>
          <w:lang w:eastAsia="en-US"/>
        </w:rPr>
      </w:pPr>
    </w:p>
    <w:p w14:paraId="0784BEF4" w14:textId="63CFF904" w:rsidR="00C74427" w:rsidRPr="0067553F" w:rsidRDefault="00C74427" w:rsidP="00A4518F">
      <w:pPr>
        <w:pStyle w:val="ListParagraph"/>
        <w:numPr>
          <w:ilvl w:val="0"/>
          <w:numId w:val="30"/>
        </w:numPr>
        <w:spacing w:line="240" w:lineRule="auto"/>
        <w:jc w:val="both"/>
        <w:rPr>
          <w:rFonts w:cs="Calibri"/>
          <w:b/>
          <w:bCs/>
        </w:rPr>
      </w:pPr>
      <w:r w:rsidRPr="0067553F">
        <w:rPr>
          <w:b/>
          <w:bCs/>
        </w:rPr>
        <w:t>Großbritannien</w:t>
      </w:r>
      <w:r w:rsidRPr="0067553F">
        <w:t xml:space="preserve"> verfügt in der EU mit Abstand über die größte Kapazität im Bereich FinTech-Innovation – das regulatorische Umfeld ist günstig und in den Finanzierungspools stehen umfangreiche Mittel zur Verfügung. </w:t>
      </w:r>
      <w:r w:rsidRPr="0067553F">
        <w:rPr>
          <w:b/>
          <w:bCs/>
        </w:rPr>
        <w:t xml:space="preserve">Schweden, Luxemburg und Litauen </w:t>
      </w:r>
      <w:r w:rsidRPr="0067553F">
        <w:t>folgen in der EU-Rangliste der Länder mit den am besten geeigneten FinTech-Ökosystemen direkt hinter Großbritannien.</w:t>
      </w:r>
    </w:p>
    <w:p w14:paraId="0A9E3836" w14:textId="77777777" w:rsidR="00C74427" w:rsidRPr="0067553F" w:rsidRDefault="00C74427" w:rsidP="00A4518F">
      <w:pPr>
        <w:spacing w:line="240" w:lineRule="auto"/>
        <w:jc w:val="both"/>
        <w:rPr>
          <w:rFonts w:cs="Calibri"/>
          <w:lang w:eastAsia="en-US"/>
        </w:rPr>
      </w:pPr>
    </w:p>
    <w:p w14:paraId="72DF317A" w14:textId="489A0024" w:rsidR="00C74427" w:rsidRPr="0067553F" w:rsidRDefault="00C74427" w:rsidP="00A4518F">
      <w:pPr>
        <w:pStyle w:val="ListParagraph"/>
        <w:numPr>
          <w:ilvl w:val="0"/>
          <w:numId w:val="30"/>
        </w:numPr>
        <w:spacing w:line="240" w:lineRule="auto"/>
        <w:jc w:val="both"/>
        <w:rPr>
          <w:rFonts w:cs="Calibri"/>
        </w:rPr>
      </w:pPr>
      <w:r w:rsidRPr="0067553F">
        <w:rPr>
          <w:b/>
        </w:rPr>
        <w:t xml:space="preserve">Belgien, die Niederlande und Schweden </w:t>
      </w:r>
      <w:r w:rsidRPr="0067553F">
        <w:t xml:space="preserve">sind die führenden EU-Länder bei nachhaltigen Finanzierungen: dort wurden über 7 % der 2018 ausgegebenen Anleihen als nachhaltig eingestuft. In </w:t>
      </w:r>
      <w:r w:rsidRPr="0067553F">
        <w:rPr>
          <w:b/>
          <w:bCs/>
        </w:rPr>
        <w:t>Litauen</w:t>
      </w:r>
      <w:r w:rsidRPr="0067553F">
        <w:t xml:space="preserve"> galten 21 % der Anleihen</w:t>
      </w:r>
      <w:r w:rsidR="00DD6543" w:rsidRPr="0067553F">
        <w:t>-E</w:t>
      </w:r>
      <w:r w:rsidRPr="0067553F">
        <w:t>missionen aus dem Jahr 2018 als nachhaltig, und damit etwas mehr als das Doppelte des Anteils 2017; dies betrifft aber nur drei 2018 ausgegebene Anleihen (und eine Emission aus dem Jahr 2017).</w:t>
      </w:r>
    </w:p>
    <w:p w14:paraId="777A088F" w14:textId="77777777" w:rsidR="00C74427" w:rsidRPr="0067553F" w:rsidRDefault="00C74427" w:rsidP="00A4518F">
      <w:pPr>
        <w:spacing w:line="240" w:lineRule="auto"/>
        <w:jc w:val="both"/>
        <w:rPr>
          <w:rFonts w:cs="Calibri"/>
          <w:lang w:eastAsia="en-US"/>
        </w:rPr>
      </w:pPr>
    </w:p>
    <w:p w14:paraId="1FA73DE1" w14:textId="310C7B0D" w:rsidR="00C74427" w:rsidRPr="0067553F" w:rsidRDefault="00C74427" w:rsidP="00A4518F">
      <w:pPr>
        <w:pStyle w:val="ListParagraph"/>
        <w:numPr>
          <w:ilvl w:val="0"/>
          <w:numId w:val="30"/>
        </w:numPr>
        <w:spacing w:line="240" w:lineRule="auto"/>
        <w:jc w:val="both"/>
        <w:rPr>
          <w:rFonts w:cs="Calibri"/>
        </w:rPr>
      </w:pPr>
      <w:r w:rsidRPr="0067553F">
        <w:rPr>
          <w:b/>
          <w:bCs/>
        </w:rPr>
        <w:t>Irland</w:t>
      </w:r>
      <w:r w:rsidRPr="0067553F">
        <w:t xml:space="preserve"> führt die Liste an, wenn es um die Verfügbarkeit von Risikokapital für KMU als Prozentsatz der gesamten KMU-Finanzierung geht. Der Löwenanteil stammt hier aus Venture-Kapital-Investitionen und Private Equity-Wachstumsfonds. </w:t>
      </w:r>
      <w:r w:rsidRPr="0067553F">
        <w:rPr>
          <w:b/>
          <w:bCs/>
        </w:rPr>
        <w:t>Estland</w:t>
      </w:r>
      <w:r w:rsidRPr="0067553F">
        <w:t xml:space="preserve"> steht innerhalb der EU auf Platz zwei, da dort der Anteil der Investitionen durch Business Angels im Vergleich zu Risikokapital und Bankfinanzierungen hoch ist.</w:t>
      </w:r>
    </w:p>
    <w:p w14:paraId="6DFD91D0" w14:textId="77777777" w:rsidR="00C74427" w:rsidRPr="0067553F" w:rsidRDefault="00C74427" w:rsidP="00A4518F">
      <w:pPr>
        <w:spacing w:line="240" w:lineRule="auto"/>
        <w:jc w:val="both"/>
        <w:rPr>
          <w:rFonts w:cs="Calibri"/>
          <w:lang w:eastAsia="en-US"/>
        </w:rPr>
      </w:pPr>
    </w:p>
    <w:p w14:paraId="33CFD7CB" w14:textId="77777777" w:rsidR="00C74427" w:rsidRPr="0067553F" w:rsidRDefault="00C74427" w:rsidP="00A4518F">
      <w:pPr>
        <w:pStyle w:val="ListParagraph"/>
        <w:numPr>
          <w:ilvl w:val="0"/>
          <w:numId w:val="30"/>
        </w:numPr>
        <w:spacing w:line="240" w:lineRule="auto"/>
        <w:jc w:val="both"/>
        <w:rPr>
          <w:rFonts w:cs="Calibri"/>
        </w:rPr>
      </w:pPr>
      <w:r w:rsidRPr="0067553F">
        <w:rPr>
          <w:b/>
          <w:bCs/>
        </w:rPr>
        <w:t>Luxemburg, Großbritannien und Estland</w:t>
      </w:r>
      <w:r w:rsidRPr="0067553F">
        <w:t xml:space="preserve"> sind die Kapitalmärkte, die am stärksten mit dem Rest der EU vernetzt sind. Hier führt Luxemburg, da viele luxemburgische Fonds und Anleihen innerhalb der EU gehalten werden.</w:t>
      </w:r>
    </w:p>
    <w:p w14:paraId="47964AB5" w14:textId="77777777" w:rsidR="00C74427" w:rsidRPr="0067553F" w:rsidRDefault="00C74427" w:rsidP="00A4518F">
      <w:pPr>
        <w:spacing w:line="240" w:lineRule="auto"/>
        <w:jc w:val="both"/>
        <w:rPr>
          <w:rFonts w:cs="Calibri"/>
          <w:lang w:eastAsia="en-US"/>
        </w:rPr>
      </w:pPr>
    </w:p>
    <w:p w14:paraId="6BBCD1ED" w14:textId="57043C38" w:rsidR="00C74427" w:rsidRPr="0067553F" w:rsidRDefault="00C74427" w:rsidP="00A4518F">
      <w:pPr>
        <w:pStyle w:val="ListParagraph"/>
        <w:numPr>
          <w:ilvl w:val="0"/>
          <w:numId w:val="30"/>
        </w:numPr>
        <w:spacing w:line="240" w:lineRule="auto"/>
        <w:jc w:val="both"/>
        <w:rPr>
          <w:rFonts w:cs="Calibri"/>
        </w:rPr>
      </w:pPr>
      <w:r w:rsidRPr="0067553F">
        <w:rPr>
          <w:b/>
          <w:bCs/>
        </w:rPr>
        <w:t>Großbritannien, Luxemburg und Zypern</w:t>
      </w:r>
      <w:r w:rsidRPr="0067553F">
        <w:t xml:space="preserve"> verfügen über die am stärksten weltweit vernetzten Kapitalmärkte in Europa. </w:t>
      </w:r>
      <w:r w:rsidRPr="0067553F">
        <w:rPr>
          <w:b/>
          <w:bCs/>
        </w:rPr>
        <w:t>Großbritannien</w:t>
      </w:r>
      <w:r w:rsidRPr="0067553F">
        <w:t xml:space="preserve"> ist besonders </w:t>
      </w:r>
      <w:r w:rsidR="00ED657C" w:rsidRPr="0067553F">
        <w:t>stark</w:t>
      </w:r>
      <w:r w:rsidRPr="0067553F">
        <w:t xml:space="preserve"> an der Vermittlung weltweiter Devisen- und Zinsderivattransaktionen beteiligt. In </w:t>
      </w:r>
      <w:r w:rsidRPr="0067553F">
        <w:rPr>
          <w:b/>
          <w:bCs/>
        </w:rPr>
        <w:t>Zypern</w:t>
      </w:r>
      <w:r w:rsidRPr="0067553F">
        <w:t xml:space="preserve"> wird die weltweite Vernetzung von dem großen Anteil zyprischer Aktien und Anleihen getragen, die außerhalb der EU gehalten werden.</w:t>
      </w:r>
    </w:p>
    <w:p w14:paraId="45CE5893" w14:textId="77777777" w:rsidR="00C74427" w:rsidRPr="0067553F" w:rsidRDefault="00C74427" w:rsidP="00A4518F">
      <w:pPr>
        <w:pStyle w:val="ListParagraph"/>
        <w:spacing w:line="240" w:lineRule="auto"/>
        <w:jc w:val="both"/>
        <w:rPr>
          <w:rFonts w:cs="Calibri"/>
          <w:lang w:eastAsia="en-US"/>
        </w:rPr>
      </w:pPr>
    </w:p>
    <w:p w14:paraId="1828D366" w14:textId="77777777" w:rsidR="00C74427" w:rsidRPr="0067553F" w:rsidRDefault="00C74427" w:rsidP="00A4518F">
      <w:pPr>
        <w:pStyle w:val="ListParagraph"/>
        <w:numPr>
          <w:ilvl w:val="0"/>
          <w:numId w:val="30"/>
        </w:numPr>
        <w:spacing w:line="240" w:lineRule="auto"/>
        <w:jc w:val="both"/>
        <w:rPr>
          <w:rFonts w:cs="Calibri"/>
        </w:rPr>
      </w:pPr>
      <w:r w:rsidRPr="0067553F">
        <w:rPr>
          <w:b/>
          <w:bCs/>
        </w:rPr>
        <w:t xml:space="preserve">Estland und die Tschechische Republik </w:t>
      </w:r>
      <w:r w:rsidRPr="0067553F">
        <w:t xml:space="preserve">sind die tiefsten Märkte in Zentral- und Osteuropa (CEE). 2018 vertrat </w:t>
      </w:r>
      <w:r w:rsidRPr="0067553F">
        <w:rPr>
          <w:b/>
          <w:bCs/>
        </w:rPr>
        <w:t>Estland</w:t>
      </w:r>
      <w:r w:rsidRPr="0067553F">
        <w:t xml:space="preserve"> 2 % des BIP in Zentral- und Osteuropa, emittierte aber 10 % der Hochzinsanleihen und 6 % der Investment-Grade-Anleihen in der Region.</w:t>
      </w:r>
    </w:p>
    <w:p w14:paraId="15EB3FAD" w14:textId="4462E793" w:rsidR="001B2A09" w:rsidRPr="0067553F" w:rsidRDefault="001B2A09" w:rsidP="00A4518F">
      <w:pPr>
        <w:spacing w:line="240" w:lineRule="auto"/>
        <w:jc w:val="both"/>
        <w:rPr>
          <w:rFonts w:cs="Calibri"/>
          <w:lang w:eastAsia="en-US"/>
        </w:rPr>
      </w:pPr>
    </w:p>
    <w:p w14:paraId="19C29562" w14:textId="77777777" w:rsidR="00BE2283" w:rsidRPr="0067553F" w:rsidRDefault="00BE2283" w:rsidP="00BE2283">
      <w:pPr>
        <w:pStyle w:val="BodyText"/>
      </w:pPr>
      <w:r w:rsidRPr="0067553F">
        <w:t>Verfasserin des Berichts</w:t>
      </w:r>
      <w:r w:rsidRPr="0067553F">
        <w:rPr>
          <w:b/>
          <w:bCs/>
        </w:rPr>
        <w:t xml:space="preserve"> </w:t>
      </w:r>
      <w:r w:rsidRPr="0067553F">
        <w:t>ist die AFME, unterstützt von der Climate Bonds Initiative (CBI) sowie von europäischen Wirtschaftsverbänden der Bereiche Business Angels (BAE, EBAN), Fonds- und Vermögensverwaltung (ACC, EFAMA), Crowdfunding (ECN), private und institutionelle Anleger (European Investors), Börsen (FESE), Venture Capital und Private Equity (Invest Europe)  sowie Pensionsfonds (Pensions Europe).</w:t>
      </w:r>
    </w:p>
    <w:p w14:paraId="2602C627" w14:textId="7C9D5A73" w:rsidR="009F4DC0" w:rsidRPr="0067553F" w:rsidRDefault="009F4DC0" w:rsidP="00A4518F">
      <w:pPr>
        <w:spacing w:line="240" w:lineRule="auto"/>
        <w:jc w:val="both"/>
        <w:rPr>
          <w:rFonts w:cs="Calibri"/>
        </w:rPr>
      </w:pPr>
      <w:r w:rsidRPr="0067553F">
        <w:t xml:space="preserve">Der vollständige Bericht steht auf der </w:t>
      </w:r>
      <w:r w:rsidRPr="0067553F">
        <w:rPr>
          <w:b/>
          <w:bCs/>
        </w:rPr>
        <w:t>AFME-Website</w:t>
      </w:r>
      <w:r w:rsidRPr="0067553F">
        <w:t xml:space="preserve"> zum Herunterladen zur Verfügung.</w:t>
      </w:r>
      <w:r w:rsidRPr="0067553F">
        <w:rPr>
          <w:u w:val="single"/>
        </w:rPr>
        <w:t xml:space="preserve"> </w:t>
      </w:r>
    </w:p>
    <w:p w14:paraId="432BAF12" w14:textId="7DE80CA4" w:rsidR="001B2A09" w:rsidRPr="0067553F" w:rsidRDefault="001B2A09" w:rsidP="0043709E">
      <w:pPr>
        <w:spacing w:line="240" w:lineRule="auto"/>
        <w:jc w:val="both"/>
        <w:rPr>
          <w:rFonts w:cs="Calibri"/>
          <w:lang w:eastAsia="en-US"/>
        </w:rPr>
      </w:pPr>
    </w:p>
    <w:p w14:paraId="0AEE8F46" w14:textId="6ACD679C" w:rsidR="00880C60" w:rsidRPr="0067553F" w:rsidRDefault="0092210B" w:rsidP="00ED3104">
      <w:pPr>
        <w:pStyle w:val="BodyText"/>
        <w:spacing w:after="0" w:line="240" w:lineRule="auto"/>
        <w:jc w:val="center"/>
      </w:pPr>
      <w:r w:rsidRPr="0067553F">
        <w:t>– Ende –</w:t>
      </w:r>
    </w:p>
    <w:bookmarkEnd w:id="1"/>
    <w:p w14:paraId="625B1F1C" w14:textId="77777777" w:rsidR="007F0D0A" w:rsidRPr="0067553F" w:rsidRDefault="007F0D0A" w:rsidP="00155810">
      <w:pPr>
        <w:pStyle w:val="BodyText"/>
        <w:spacing w:after="0" w:line="240" w:lineRule="auto"/>
      </w:pPr>
    </w:p>
    <w:p w14:paraId="49163308" w14:textId="77777777" w:rsidR="00EA75C4" w:rsidRPr="0067553F" w:rsidRDefault="00EA75C4" w:rsidP="0040580A">
      <w:pPr>
        <w:pStyle w:val="NormalBold"/>
        <w:outlineLvl w:val="0"/>
      </w:pPr>
      <w:r w:rsidRPr="0067553F">
        <w:t>Kontakt AFME</w:t>
      </w:r>
    </w:p>
    <w:p w14:paraId="73B0953E" w14:textId="77777777" w:rsidR="00842CFD" w:rsidRPr="0067553F" w:rsidRDefault="00842CFD" w:rsidP="00842CFD">
      <w:pPr>
        <w:pStyle w:val="BodyText"/>
        <w:jc w:val="left"/>
      </w:pPr>
      <w:r w:rsidRPr="0067553F">
        <w:t>Rebecca Hansford</w:t>
      </w:r>
      <w:r w:rsidRPr="0067553F">
        <w:br/>
        <w:t>Head of Media Relations</w:t>
      </w:r>
      <w:r w:rsidRPr="0067553F">
        <w:br/>
      </w:r>
      <w:hyperlink r:id="rId8" w:history="1">
        <w:r w:rsidRPr="0067553F">
          <w:rPr>
            <w:rStyle w:val="Hyperlink"/>
            <w:u w:val="single"/>
          </w:rPr>
          <w:t>rebecca.hansford@afme.eu</w:t>
        </w:r>
      </w:hyperlink>
      <w:r w:rsidRPr="0067553F">
        <w:t xml:space="preserve"> </w:t>
      </w:r>
      <w:r w:rsidRPr="0067553F">
        <w:br/>
        <w:t>+44 (0)20 3828 2693</w:t>
      </w:r>
      <w:r w:rsidRPr="0067553F">
        <w:br/>
        <w:t xml:space="preserve">+44 (0)7825 081 686 </w:t>
      </w:r>
    </w:p>
    <w:p w14:paraId="398A4559" w14:textId="77777777" w:rsidR="00A2629D" w:rsidRPr="0067553F" w:rsidRDefault="00A2629D" w:rsidP="00E43A3C">
      <w:pPr>
        <w:rPr>
          <w:b/>
        </w:rPr>
      </w:pPr>
    </w:p>
    <w:p w14:paraId="08934BD1" w14:textId="77777777" w:rsidR="004664D6" w:rsidRPr="0067553F" w:rsidRDefault="004664D6" w:rsidP="0040580A">
      <w:pPr>
        <w:outlineLvl w:val="0"/>
        <w:rPr>
          <w:b/>
        </w:rPr>
      </w:pPr>
      <w:r w:rsidRPr="0067553F">
        <w:rPr>
          <w:b/>
        </w:rPr>
        <w:t>Die AFME:</w:t>
      </w:r>
    </w:p>
    <w:p w14:paraId="15D0344B" w14:textId="77777777" w:rsidR="003B3C39" w:rsidRPr="0067553F" w:rsidRDefault="003B3C39" w:rsidP="003B3C39">
      <w:pPr>
        <w:spacing w:line="240" w:lineRule="auto"/>
      </w:pPr>
      <w:r w:rsidRPr="0067553F">
        <w:t xml:space="preserve">Die AFME (Association for Financial Markets in Europe) setzt sich für umfassende und integrierte europäische Kapitalmärkte ein, die den Bedarf von Unternehmen und Anlegern decken, Wirtschaftswachstum fördern und der Gesellschaft nutzen. Die AFME ist die Stimme aller europäischen Finanzmärkte für Unternehmenskunden und bietet Fachwissen über eine Vielzahl von aufsichtsrechtlichen und Kapitalmarkt-Themen. Die AFME möchte als Vermittlerin zwischen Marktteilnehmern und politischen Entscheidungsträgern in ganz Europa agieren und nutzt dabei ihre starken und langjährigen Beziehungen, ihr technisches Know-how und ihre faktenbasierte Arbeit. Zu ihren Mitgliedern zählen in der ganzen EU und weltweit tätige Banken sowie wichtige Regionalbanken, Broker, Rechtsanwaltskanzleien, Investoren und andere Finanzmarktteilnehmer. Die AFME ist durch die GFMA (Global Financial Markets Association) an einer weltweiten Allianz mit der Securities Industry and Financial Markets Association (SIFMA) in den USA und der Asia Securities Industry and Financial Markets Association (ASIFMA) beteiligt. Weitere Informationen stehen Ihnen auf der Website der AFME zur Verfügung: </w:t>
      </w:r>
      <w:hyperlink r:id="rId9" w:history="1">
        <w:r w:rsidRPr="0067553F">
          <w:rPr>
            <w:rStyle w:val="Hyperlink"/>
          </w:rPr>
          <w:t>www.afme.eu</w:t>
        </w:r>
      </w:hyperlink>
      <w:r w:rsidRPr="0067553F">
        <w:t>.</w:t>
      </w:r>
    </w:p>
    <w:p w14:paraId="6F72F0E4" w14:textId="77777777" w:rsidR="002F02C6" w:rsidRDefault="003B3C39">
      <w:pPr>
        <w:spacing w:line="240" w:lineRule="auto"/>
      </w:pPr>
      <w:r w:rsidRPr="0067553F">
        <w:t>Folgen Sie uns auf Twitter @AFME_EU</w:t>
      </w:r>
      <w:r>
        <w:t xml:space="preserve"> </w:t>
      </w:r>
    </w:p>
    <w:sectPr w:rsidR="002F02C6" w:rsidSect="004B0D81">
      <w:footerReference w:type="default" r:id="rId10"/>
      <w:headerReference w:type="first" r:id="rId11"/>
      <w:pgSz w:w="11906" w:h="16838" w:code="9"/>
      <w:pgMar w:top="2268" w:right="851" w:bottom="1985" w:left="85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3BC53E" w14:textId="77777777" w:rsidR="00A622CA" w:rsidRDefault="00A622CA" w:rsidP="00C42475">
      <w:pPr>
        <w:spacing w:line="240" w:lineRule="auto"/>
      </w:pPr>
      <w:r>
        <w:separator/>
      </w:r>
    </w:p>
  </w:endnote>
  <w:endnote w:type="continuationSeparator" w:id="0">
    <w:p w14:paraId="33404462" w14:textId="77777777" w:rsidR="00A622CA" w:rsidRDefault="00A622CA" w:rsidP="00C424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4B79B" w14:textId="4D790205" w:rsidR="000D0FB2" w:rsidRPr="00E437B9" w:rsidRDefault="000D0FB2" w:rsidP="00E437B9">
    <w:pPr>
      <w:pStyle w:val="AFMEPagenumber"/>
      <w:rPr>
        <w:noProof/>
      </w:rPr>
    </w:pPr>
    <w:r>
      <w:rPr>
        <w:noProof/>
      </w:rPr>
      <w:drawing>
        <wp:anchor distT="0" distB="0" distL="114300" distR="114300" simplePos="0" relativeHeight="251657216" behindDoc="0" locked="0" layoutInCell="1" allowOverlap="1" wp14:anchorId="02495531" wp14:editId="5255F9EA">
          <wp:simplePos x="0" y="0"/>
          <wp:positionH relativeFrom="page">
            <wp:posOffset>6732905</wp:posOffset>
          </wp:positionH>
          <wp:positionV relativeFrom="page">
            <wp:posOffset>10009505</wp:posOffset>
          </wp:positionV>
          <wp:extent cx="101520" cy="143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ME_rgb_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520" cy="143640"/>
                  </a:xfrm>
                  <a:prstGeom prst="rect">
                    <a:avLst/>
                  </a:prstGeom>
                </pic:spPr>
              </pic:pic>
            </a:graphicData>
          </a:graphic>
        </wp:anchor>
      </w:drawing>
    </w:r>
    <w:r w:rsidR="00CC27C7">
      <w:fldChar w:fldCharType="begin"/>
    </w:r>
    <w:r w:rsidR="00CC27C7">
      <w:instrText xml:space="preserve"> PAGE   \* MERGEFORMAT </w:instrText>
    </w:r>
    <w:r w:rsidR="00CC27C7">
      <w:fldChar w:fldCharType="separate"/>
    </w:r>
    <w:r w:rsidR="000A317C">
      <w:t>2</w:t>
    </w:r>
    <w:r w:rsidR="00CC27C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17A8F" w14:textId="77777777" w:rsidR="00A622CA" w:rsidRPr="00FB1672" w:rsidRDefault="00A622CA" w:rsidP="00C42475">
      <w:pPr>
        <w:spacing w:line="240" w:lineRule="auto"/>
        <w:rPr>
          <w:color w:val="78A22F" w:themeColor="accent1"/>
        </w:rPr>
      </w:pPr>
      <w:r w:rsidRPr="00FB1672">
        <w:rPr>
          <w:color w:val="78A22F" w:themeColor="accent1"/>
        </w:rPr>
        <w:separator/>
      </w:r>
    </w:p>
  </w:footnote>
  <w:footnote w:type="continuationSeparator" w:id="0">
    <w:p w14:paraId="253C30B6" w14:textId="77777777" w:rsidR="00A622CA" w:rsidRDefault="00A622CA" w:rsidP="00C424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BEA56" w14:textId="36F52DC5" w:rsidR="006C63D0" w:rsidRDefault="00887AC7" w:rsidP="00887AC7">
    <w:pPr>
      <w:pStyle w:val="AFMEFullName"/>
      <w:jc w:val="left"/>
    </w:pPr>
    <w:r>
      <w:drawing>
        <wp:anchor distT="0" distB="0" distL="114300" distR="114300" simplePos="0" relativeHeight="251668480" behindDoc="0" locked="0" layoutInCell="1" allowOverlap="1" wp14:anchorId="33EDB3C7" wp14:editId="276BC3D5">
          <wp:simplePos x="0" y="0"/>
          <wp:positionH relativeFrom="column">
            <wp:posOffset>1330443</wp:posOffset>
          </wp:positionH>
          <wp:positionV relativeFrom="paragraph">
            <wp:posOffset>-274187</wp:posOffset>
          </wp:positionV>
          <wp:extent cx="455428" cy="455428"/>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428" cy="455428"/>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9264" behindDoc="0" locked="0" layoutInCell="1" allowOverlap="1" wp14:anchorId="6FCE1C83" wp14:editId="7BC40530">
          <wp:simplePos x="0" y="0"/>
          <wp:positionH relativeFrom="column">
            <wp:posOffset>2203863</wp:posOffset>
          </wp:positionH>
          <wp:positionV relativeFrom="paragraph">
            <wp:posOffset>-171376</wp:posOffset>
          </wp:positionV>
          <wp:extent cx="1247775" cy="3238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6513" t="30087" r="5581" b="26550"/>
                  <a:stretch/>
                </pic:blipFill>
                <pic:spPr bwMode="auto">
                  <a:xfrm>
                    <a:off x="0" y="0"/>
                    <a:ext cx="1247775"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0288" behindDoc="0" locked="0" layoutInCell="1" allowOverlap="1" wp14:anchorId="1A697B7E" wp14:editId="60BB4DD9">
          <wp:simplePos x="0" y="0"/>
          <wp:positionH relativeFrom="column">
            <wp:posOffset>3658515</wp:posOffset>
          </wp:positionH>
          <wp:positionV relativeFrom="paragraph">
            <wp:posOffset>-188684</wp:posOffset>
          </wp:positionV>
          <wp:extent cx="1162050" cy="337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62050" cy="33782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312" behindDoc="0" locked="0" layoutInCell="1" allowOverlap="1" wp14:anchorId="4B61FAC5" wp14:editId="6D67FE5B">
          <wp:simplePos x="0" y="0"/>
          <wp:positionH relativeFrom="margin">
            <wp:posOffset>5115264</wp:posOffset>
          </wp:positionH>
          <wp:positionV relativeFrom="paragraph">
            <wp:posOffset>-350402</wp:posOffset>
          </wp:positionV>
          <wp:extent cx="1143635" cy="497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635" cy="49784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3360" behindDoc="1" locked="0" layoutInCell="1" allowOverlap="1" wp14:anchorId="46E0B168" wp14:editId="1CEC47CB">
          <wp:simplePos x="0" y="0"/>
          <wp:positionH relativeFrom="column">
            <wp:posOffset>3140533</wp:posOffset>
          </wp:positionH>
          <wp:positionV relativeFrom="paragraph">
            <wp:posOffset>396875</wp:posOffset>
          </wp:positionV>
          <wp:extent cx="1104900" cy="277495"/>
          <wp:effectExtent l="0" t="0" r="0" b="8255"/>
          <wp:wrapTight wrapText="bothSides">
            <wp:wrapPolygon edited="0">
              <wp:start x="0" y="0"/>
              <wp:lineTo x="0" y="20760"/>
              <wp:lineTo x="21228" y="20760"/>
              <wp:lineTo x="2122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a:extLst>
                      <a:ext uri="{28A0092B-C50C-407E-A947-70E740481C1C}">
                        <a14:useLocalDpi xmlns:a14="http://schemas.microsoft.com/office/drawing/2010/main" val="0"/>
                      </a:ext>
                    </a:extLst>
                  </a:blip>
                  <a:srcRect l="15349" t="35398" r="14419" b="30974"/>
                  <a:stretch/>
                </pic:blipFill>
                <pic:spPr bwMode="auto">
                  <a:xfrm>
                    <a:off x="0" y="0"/>
                    <a:ext cx="1104900" cy="27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7456" behindDoc="0" locked="0" layoutInCell="1" allowOverlap="1" wp14:anchorId="0012B480" wp14:editId="71F2ECC8">
          <wp:simplePos x="0" y="0"/>
          <wp:positionH relativeFrom="column">
            <wp:posOffset>2026920</wp:posOffset>
          </wp:positionH>
          <wp:positionV relativeFrom="paragraph">
            <wp:posOffset>280655</wp:posOffset>
          </wp:positionV>
          <wp:extent cx="949960" cy="393065"/>
          <wp:effectExtent l="0" t="0" r="2540" b="6985"/>
          <wp:wrapThrough wrapText="bothSides">
            <wp:wrapPolygon edited="0">
              <wp:start x="0" y="0"/>
              <wp:lineTo x="0" y="20937"/>
              <wp:lineTo x="21225" y="20937"/>
              <wp:lineTo x="2122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9960" cy="39306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2336" behindDoc="1" locked="0" layoutInCell="1" allowOverlap="1" wp14:anchorId="0274DE38" wp14:editId="4F4F24D3">
          <wp:simplePos x="0" y="0"/>
          <wp:positionH relativeFrom="column">
            <wp:posOffset>837447</wp:posOffset>
          </wp:positionH>
          <wp:positionV relativeFrom="paragraph">
            <wp:posOffset>329255</wp:posOffset>
          </wp:positionV>
          <wp:extent cx="1129030" cy="448945"/>
          <wp:effectExtent l="0" t="0" r="0" b="8255"/>
          <wp:wrapTight wrapText="bothSides">
            <wp:wrapPolygon edited="0">
              <wp:start x="0" y="0"/>
              <wp:lineTo x="0" y="21081"/>
              <wp:lineTo x="21138" y="21081"/>
              <wp:lineTo x="2113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l="8372" t="18584" r="7441" b="17699"/>
                  <a:stretch/>
                </pic:blipFill>
                <pic:spPr bwMode="auto">
                  <a:xfrm>
                    <a:off x="0" y="0"/>
                    <a:ext cx="1129030" cy="448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0" locked="0" layoutInCell="1" allowOverlap="1" wp14:anchorId="50088650" wp14:editId="36A07AB0">
          <wp:simplePos x="0" y="0"/>
          <wp:positionH relativeFrom="margin">
            <wp:posOffset>-135757</wp:posOffset>
          </wp:positionH>
          <wp:positionV relativeFrom="paragraph">
            <wp:posOffset>329388</wp:posOffset>
          </wp:positionV>
          <wp:extent cx="786810" cy="416173"/>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810" cy="416173"/>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6432" behindDoc="0" locked="0" layoutInCell="1" allowOverlap="1" wp14:anchorId="6F99F085" wp14:editId="6500F348">
          <wp:simplePos x="0" y="0"/>
          <wp:positionH relativeFrom="column">
            <wp:posOffset>5674995</wp:posOffset>
          </wp:positionH>
          <wp:positionV relativeFrom="paragraph">
            <wp:posOffset>280670</wp:posOffset>
          </wp:positionV>
          <wp:extent cx="885825" cy="507365"/>
          <wp:effectExtent l="38100" t="38100" r="28575" b="45085"/>
          <wp:wrapThrough wrapText="bothSides">
            <wp:wrapPolygon edited="0">
              <wp:start x="-1014" y="46"/>
              <wp:lineTo x="-479" y="21127"/>
              <wp:lineTo x="18192" y="21679"/>
              <wp:lineTo x="22358" y="21076"/>
              <wp:lineTo x="21283" y="-1555"/>
              <wp:lineTo x="18892" y="-2836"/>
              <wp:lineTo x="4078" y="-692"/>
              <wp:lineTo x="-1014" y="46"/>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4384" behindDoc="1" locked="0" layoutInCell="1" allowOverlap="1" wp14:anchorId="1DF10489" wp14:editId="43563E70">
          <wp:simplePos x="0" y="0"/>
          <wp:positionH relativeFrom="margin">
            <wp:posOffset>4454525</wp:posOffset>
          </wp:positionH>
          <wp:positionV relativeFrom="paragraph">
            <wp:posOffset>295319</wp:posOffset>
          </wp:positionV>
          <wp:extent cx="1108075" cy="447675"/>
          <wp:effectExtent l="0" t="0" r="0" b="9525"/>
          <wp:wrapTight wrapText="bothSides">
            <wp:wrapPolygon edited="0">
              <wp:start x="0" y="0"/>
              <wp:lineTo x="0" y="21140"/>
              <wp:lineTo x="21167" y="21140"/>
              <wp:lineTo x="2116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80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anchorId="476159EE" wp14:editId="7F12503E">
          <wp:simplePos x="0" y="0"/>
          <wp:positionH relativeFrom="page">
            <wp:posOffset>400050</wp:posOffset>
          </wp:positionH>
          <wp:positionV relativeFrom="page">
            <wp:posOffset>262934</wp:posOffset>
          </wp:positionV>
          <wp:extent cx="973181" cy="381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ME_rgb_high_CW cropp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3181" cy="381000"/>
                  </a:xfrm>
                  <a:prstGeom prst="rect">
                    <a:avLst/>
                  </a:prstGeom>
                </pic:spPr>
              </pic:pic>
            </a:graphicData>
          </a:graphic>
          <wp14:sizeRelH relativeFrom="margin">
            <wp14:pctWidth>0</wp14:pctWidth>
          </wp14:sizeRelH>
          <wp14:sizeRelV relativeFrom="margin">
            <wp14:pctHeight>0</wp14:pctHeight>
          </wp14:sizeRelV>
        </wp:anchor>
      </w:drawing>
    </w:r>
  </w:p>
  <w:p w14:paraId="3F58DC56" w14:textId="551BB2BD" w:rsidR="000D0FB2" w:rsidRDefault="000D0FB2" w:rsidP="008308CD">
    <w:pPr>
      <w:pStyle w:val="AFMEFullNam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1EB"/>
    <w:multiLevelType w:val="hybridMultilevel"/>
    <w:tmpl w:val="B32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E0B23"/>
    <w:multiLevelType w:val="multilevel"/>
    <w:tmpl w:val="6DB425B6"/>
    <w:numStyleLink w:val="AFMENumbering"/>
  </w:abstractNum>
  <w:abstractNum w:abstractNumId="2" w15:restartNumberingAfterBreak="0">
    <w:nsid w:val="0B597AFC"/>
    <w:multiLevelType w:val="hybridMultilevel"/>
    <w:tmpl w:val="B81471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F167B"/>
    <w:multiLevelType w:val="hybridMultilevel"/>
    <w:tmpl w:val="EBFE1092"/>
    <w:lvl w:ilvl="0" w:tplc="31CA9F40">
      <w:numFmt w:val="bullet"/>
      <w:lvlText w:val="•"/>
      <w:lvlJc w:val="left"/>
      <w:pPr>
        <w:ind w:left="1080" w:hanging="72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B68A7"/>
    <w:multiLevelType w:val="hybridMultilevel"/>
    <w:tmpl w:val="589C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210B9"/>
    <w:multiLevelType w:val="multilevel"/>
    <w:tmpl w:val="023E8784"/>
    <w:styleLink w:val="AFMEBullets"/>
    <w:lvl w:ilvl="0">
      <w:start w:val="1"/>
      <w:numFmt w:val="bullet"/>
      <w:pStyle w:val="Bullets1"/>
      <w:lvlText w:val=""/>
      <w:lvlJc w:val="left"/>
      <w:pPr>
        <w:tabs>
          <w:tab w:val="num" w:pos="284"/>
        </w:tabs>
        <w:ind w:left="284" w:hanging="284"/>
      </w:pPr>
      <w:rPr>
        <w:rFonts w:ascii="Symbol" w:hAnsi="Symbol" w:hint="default"/>
        <w:color w:val="78A22F" w:themeColor="accent1"/>
      </w:rPr>
    </w:lvl>
    <w:lvl w:ilvl="1">
      <w:start w:val="1"/>
      <w:numFmt w:val="bullet"/>
      <w:pStyle w:val="Bullets2"/>
      <w:lvlText w:val=""/>
      <w:lvlJc w:val="left"/>
      <w:pPr>
        <w:tabs>
          <w:tab w:val="num" w:pos="567"/>
        </w:tabs>
        <w:ind w:left="567" w:hanging="283"/>
      </w:pPr>
      <w:rPr>
        <w:rFonts w:ascii="Symbol" w:hAnsi="Symbol" w:hint="default"/>
        <w:color w:val="58595B" w:themeColor="accent6"/>
      </w:rPr>
    </w:lvl>
    <w:lvl w:ilvl="2">
      <w:start w:val="1"/>
      <w:numFmt w:val="bullet"/>
      <w:pStyle w:val="Bullets3"/>
      <w:lvlText w:val=""/>
      <w:lvlJc w:val="left"/>
      <w:pPr>
        <w:tabs>
          <w:tab w:val="num" w:pos="851"/>
        </w:tabs>
        <w:ind w:left="851" w:hanging="284"/>
      </w:pPr>
      <w:rPr>
        <w:rFonts w:ascii="Symbol" w:hAnsi="Symbol" w:hint="default"/>
        <w:color w:val="C9DAAC" w:themeColor="accent2"/>
      </w:rPr>
    </w:lvl>
    <w:lvl w:ilvl="3">
      <w:start w:val="1"/>
      <w:numFmt w:val="bullet"/>
      <w:lvlText w:val=""/>
      <w:lvlJc w:val="left"/>
      <w:pPr>
        <w:tabs>
          <w:tab w:val="num" w:pos="1134"/>
        </w:tabs>
        <w:ind w:left="1134" w:hanging="283"/>
      </w:pPr>
      <w:rPr>
        <w:rFonts w:ascii="Symbol" w:hAnsi="Symbol" w:hint="default"/>
        <w:color w:val="CFD0D2" w:themeColor="accent3"/>
      </w:rPr>
    </w:lvl>
    <w:lvl w:ilvl="4">
      <w:start w:val="1"/>
      <w:numFmt w:val="bullet"/>
      <w:lvlText w:val=""/>
      <w:lvlJc w:val="left"/>
      <w:pPr>
        <w:tabs>
          <w:tab w:val="num" w:pos="1418"/>
        </w:tabs>
        <w:ind w:left="1418" w:hanging="284"/>
      </w:pPr>
      <w:rPr>
        <w:rFonts w:ascii="Symbol" w:hAnsi="Symbol" w:hint="default"/>
        <w:color w:val="808285" w:themeColor="accent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FC4F1E"/>
    <w:multiLevelType w:val="hybridMultilevel"/>
    <w:tmpl w:val="FD86AE64"/>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2020CB"/>
    <w:multiLevelType w:val="hybridMultilevel"/>
    <w:tmpl w:val="649ACB5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6AE236A"/>
    <w:multiLevelType w:val="multilevel"/>
    <w:tmpl w:val="867830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FB14999"/>
    <w:multiLevelType w:val="multilevel"/>
    <w:tmpl w:val="5216811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318D227F"/>
    <w:multiLevelType w:val="multilevel"/>
    <w:tmpl w:val="6DB425B6"/>
    <w:styleLink w:val="AFMENumbering"/>
    <w:lvl w:ilvl="0">
      <w:start w:val="1"/>
      <w:numFmt w:val="none"/>
      <w:pStyle w:val="SectionHeading"/>
      <w:suff w:val="nothing"/>
      <w:lvlText w:val=""/>
      <w:lvlJc w:val="left"/>
      <w:pPr>
        <w:ind w:left="0" w:firstLine="0"/>
      </w:pPr>
      <w:rPr>
        <w:rFonts w:hint="default"/>
      </w:rPr>
    </w:lvl>
    <w:lvl w:ilvl="1">
      <w:start w:val="1"/>
      <w:numFmt w:val="decimal"/>
      <w:lvlRestart w:val="0"/>
      <w:pStyle w:val="Level1"/>
      <w:lvlText w:val="%2"/>
      <w:lvlJc w:val="left"/>
      <w:pPr>
        <w:tabs>
          <w:tab w:val="num" w:pos="567"/>
        </w:tabs>
        <w:ind w:left="567" w:hanging="567"/>
      </w:pPr>
      <w:rPr>
        <w:rFonts w:hint="default"/>
      </w:rPr>
    </w:lvl>
    <w:lvl w:ilvl="2">
      <w:start w:val="1"/>
      <w:numFmt w:val="decimal"/>
      <w:pStyle w:val="Level2"/>
      <w:lvlText w:val="%2.%3"/>
      <w:lvlJc w:val="left"/>
      <w:pPr>
        <w:tabs>
          <w:tab w:val="num" w:pos="567"/>
        </w:tabs>
        <w:ind w:left="567" w:hanging="567"/>
      </w:pPr>
      <w:rPr>
        <w:rFonts w:hint="default"/>
      </w:rPr>
    </w:lvl>
    <w:lvl w:ilvl="3">
      <w:start w:val="1"/>
      <w:numFmt w:val="decimal"/>
      <w:pStyle w:val="Level3"/>
      <w:lvlText w:val="%2.%3.%4"/>
      <w:lvlJc w:val="left"/>
      <w:pPr>
        <w:tabs>
          <w:tab w:val="num" w:pos="567"/>
        </w:tabs>
        <w:ind w:left="567" w:hanging="567"/>
      </w:pPr>
      <w:rPr>
        <w:rFonts w:hint="default"/>
      </w:rPr>
    </w:lvl>
    <w:lvl w:ilvl="4">
      <w:start w:val="1"/>
      <w:numFmt w:val="lowerLetter"/>
      <w:pStyle w:val="Level4"/>
      <w:lvlText w:val="%5."/>
      <w:lvlJc w:val="left"/>
      <w:pPr>
        <w:tabs>
          <w:tab w:val="num" w:pos="567"/>
        </w:tabs>
        <w:ind w:left="567" w:hanging="567"/>
      </w:pPr>
      <w:rPr>
        <w:rFonts w:hint="default"/>
      </w:rPr>
    </w:lvl>
    <w:lvl w:ilvl="5">
      <w:start w:val="1"/>
      <w:numFmt w:val="lowerRoman"/>
      <w:pStyle w:val="Level5"/>
      <w:lvlText w:val="%6."/>
      <w:lvlJc w:val="left"/>
      <w:pPr>
        <w:ind w:left="567"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247198F"/>
    <w:multiLevelType w:val="hybridMultilevel"/>
    <w:tmpl w:val="259E8BE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E6AA7"/>
    <w:multiLevelType w:val="hybridMultilevel"/>
    <w:tmpl w:val="AD7015F6"/>
    <w:lvl w:ilvl="0" w:tplc="BDA02AA0">
      <w:numFmt w:val="bullet"/>
      <w:lvlText w:val=""/>
      <w:lvlJc w:val="left"/>
      <w:pPr>
        <w:ind w:left="1003" w:hanging="284"/>
      </w:pPr>
      <w:rPr>
        <w:rFonts w:ascii="Symbol" w:eastAsia="Symbol" w:hAnsi="Symbol" w:cs="Symbol" w:hint="default"/>
        <w:color w:val="78A22F"/>
        <w:w w:val="100"/>
        <w:sz w:val="22"/>
        <w:szCs w:val="22"/>
        <w:lang w:val="en-GB" w:eastAsia="en-GB" w:bidi="en-GB"/>
      </w:rPr>
    </w:lvl>
    <w:lvl w:ilvl="1" w:tplc="CB9CBBF2">
      <w:numFmt w:val="bullet"/>
      <w:lvlText w:val="•"/>
      <w:lvlJc w:val="left"/>
      <w:pPr>
        <w:ind w:left="2012" w:hanging="284"/>
      </w:pPr>
      <w:rPr>
        <w:rFonts w:hint="default"/>
        <w:lang w:val="en-GB" w:eastAsia="en-GB" w:bidi="en-GB"/>
      </w:rPr>
    </w:lvl>
    <w:lvl w:ilvl="2" w:tplc="C538A5F2">
      <w:numFmt w:val="bullet"/>
      <w:lvlText w:val="•"/>
      <w:lvlJc w:val="left"/>
      <w:pPr>
        <w:ind w:left="3017" w:hanging="284"/>
      </w:pPr>
      <w:rPr>
        <w:rFonts w:hint="default"/>
        <w:lang w:val="en-GB" w:eastAsia="en-GB" w:bidi="en-GB"/>
      </w:rPr>
    </w:lvl>
    <w:lvl w:ilvl="3" w:tplc="D736B164">
      <w:numFmt w:val="bullet"/>
      <w:lvlText w:val="•"/>
      <w:lvlJc w:val="left"/>
      <w:pPr>
        <w:ind w:left="4021" w:hanging="284"/>
      </w:pPr>
      <w:rPr>
        <w:rFonts w:hint="default"/>
        <w:lang w:val="en-GB" w:eastAsia="en-GB" w:bidi="en-GB"/>
      </w:rPr>
    </w:lvl>
    <w:lvl w:ilvl="4" w:tplc="D91817E2">
      <w:numFmt w:val="bullet"/>
      <w:lvlText w:val="•"/>
      <w:lvlJc w:val="left"/>
      <w:pPr>
        <w:ind w:left="5026" w:hanging="284"/>
      </w:pPr>
      <w:rPr>
        <w:rFonts w:hint="default"/>
        <w:lang w:val="en-GB" w:eastAsia="en-GB" w:bidi="en-GB"/>
      </w:rPr>
    </w:lvl>
    <w:lvl w:ilvl="5" w:tplc="A904AB92">
      <w:numFmt w:val="bullet"/>
      <w:lvlText w:val="•"/>
      <w:lvlJc w:val="left"/>
      <w:pPr>
        <w:ind w:left="6031" w:hanging="284"/>
      </w:pPr>
      <w:rPr>
        <w:rFonts w:hint="default"/>
        <w:lang w:val="en-GB" w:eastAsia="en-GB" w:bidi="en-GB"/>
      </w:rPr>
    </w:lvl>
    <w:lvl w:ilvl="6" w:tplc="883CEEA0">
      <w:numFmt w:val="bullet"/>
      <w:lvlText w:val="•"/>
      <w:lvlJc w:val="left"/>
      <w:pPr>
        <w:ind w:left="7035" w:hanging="284"/>
      </w:pPr>
      <w:rPr>
        <w:rFonts w:hint="default"/>
        <w:lang w:val="en-GB" w:eastAsia="en-GB" w:bidi="en-GB"/>
      </w:rPr>
    </w:lvl>
    <w:lvl w:ilvl="7" w:tplc="0596BD4C">
      <w:numFmt w:val="bullet"/>
      <w:lvlText w:val="•"/>
      <w:lvlJc w:val="left"/>
      <w:pPr>
        <w:ind w:left="8040" w:hanging="284"/>
      </w:pPr>
      <w:rPr>
        <w:rFonts w:hint="default"/>
        <w:lang w:val="en-GB" w:eastAsia="en-GB" w:bidi="en-GB"/>
      </w:rPr>
    </w:lvl>
    <w:lvl w:ilvl="8" w:tplc="7DE06826">
      <w:numFmt w:val="bullet"/>
      <w:lvlText w:val="•"/>
      <w:lvlJc w:val="left"/>
      <w:pPr>
        <w:ind w:left="9045" w:hanging="284"/>
      </w:pPr>
      <w:rPr>
        <w:rFonts w:hint="default"/>
        <w:lang w:val="en-GB" w:eastAsia="en-GB" w:bidi="en-GB"/>
      </w:rPr>
    </w:lvl>
  </w:abstractNum>
  <w:abstractNum w:abstractNumId="13" w15:restartNumberingAfterBreak="0">
    <w:nsid w:val="366C1CEA"/>
    <w:multiLevelType w:val="multilevel"/>
    <w:tmpl w:val="023E8784"/>
    <w:numStyleLink w:val="AFMEBullets"/>
  </w:abstractNum>
  <w:abstractNum w:abstractNumId="14" w15:restartNumberingAfterBreak="0">
    <w:nsid w:val="38652B80"/>
    <w:multiLevelType w:val="multilevel"/>
    <w:tmpl w:val="244003C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01D4F5D"/>
    <w:multiLevelType w:val="hybridMultilevel"/>
    <w:tmpl w:val="BDB44852"/>
    <w:lvl w:ilvl="0" w:tplc="706090C0">
      <w:start w:val="25"/>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A50252"/>
    <w:multiLevelType w:val="multilevel"/>
    <w:tmpl w:val="63D8C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C2732C8"/>
    <w:multiLevelType w:val="hybridMultilevel"/>
    <w:tmpl w:val="AFC6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F10C33"/>
    <w:multiLevelType w:val="multilevel"/>
    <w:tmpl w:val="4F0AA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517E2653"/>
    <w:multiLevelType w:val="multilevel"/>
    <w:tmpl w:val="13D42B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2501475"/>
    <w:multiLevelType w:val="hybridMultilevel"/>
    <w:tmpl w:val="E378E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4A2961"/>
    <w:multiLevelType w:val="hybridMultilevel"/>
    <w:tmpl w:val="3A8C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90422E"/>
    <w:multiLevelType w:val="hybridMultilevel"/>
    <w:tmpl w:val="6D862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173AA8"/>
    <w:multiLevelType w:val="hybridMultilevel"/>
    <w:tmpl w:val="DD5232CE"/>
    <w:lvl w:ilvl="0" w:tplc="93C0CE02">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29B7B0E"/>
    <w:multiLevelType w:val="hybridMultilevel"/>
    <w:tmpl w:val="1CD21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180811"/>
    <w:multiLevelType w:val="hybridMultilevel"/>
    <w:tmpl w:val="551A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245A87"/>
    <w:multiLevelType w:val="multilevel"/>
    <w:tmpl w:val="7254854C"/>
    <w:styleLink w:val="Sources"/>
    <w:lvl w:ilvl="0">
      <w:start w:val="1"/>
      <w:numFmt w:val="none"/>
      <w:pStyle w:val="Source"/>
      <w:suff w:val="space"/>
      <w:lvlText w:val="Source:"/>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B4B372F"/>
    <w:multiLevelType w:val="hybridMultilevel"/>
    <w:tmpl w:val="9134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227657"/>
    <w:multiLevelType w:val="hybridMultilevel"/>
    <w:tmpl w:val="E7BEF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A43E1"/>
    <w:multiLevelType w:val="hybridMultilevel"/>
    <w:tmpl w:val="84D67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6"/>
  </w:num>
  <w:num w:numId="4">
    <w:abstractNumId w:val="13"/>
  </w:num>
  <w:num w:numId="5">
    <w:abstractNumId w:val="1"/>
  </w:num>
  <w:num w:numId="6">
    <w:abstractNumId w:val="23"/>
  </w:num>
  <w:num w:numId="7">
    <w:abstractNumId w:val="23"/>
  </w:num>
  <w:num w:numId="8">
    <w:abstractNumId w:val="27"/>
  </w:num>
  <w:num w:numId="9">
    <w:abstractNumId w:val="18"/>
  </w:num>
  <w:num w:numId="10">
    <w:abstractNumId w:val="14"/>
  </w:num>
  <w:num w:numId="11">
    <w:abstractNumId w:val="19"/>
  </w:num>
  <w:num w:numId="12">
    <w:abstractNumId w:val="9"/>
  </w:num>
  <w:num w:numId="13">
    <w:abstractNumId w:val="16"/>
  </w:num>
  <w:num w:numId="14">
    <w:abstractNumId w:val="22"/>
  </w:num>
  <w:num w:numId="15">
    <w:abstractNumId w:val="29"/>
  </w:num>
  <w:num w:numId="16">
    <w:abstractNumId w:val="3"/>
  </w:num>
  <w:num w:numId="17">
    <w:abstractNumId w:val="17"/>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2"/>
  </w:num>
  <w:num w:numId="21">
    <w:abstractNumId w:val="4"/>
  </w:num>
  <w:num w:numId="22">
    <w:abstractNumId w:val="21"/>
  </w:num>
  <w:num w:numId="23">
    <w:abstractNumId w:val="15"/>
  </w:num>
  <w:num w:numId="24">
    <w:abstractNumId w:val="6"/>
  </w:num>
  <w:num w:numId="25">
    <w:abstractNumId w:val="25"/>
  </w:num>
  <w:num w:numId="26">
    <w:abstractNumId w:val="20"/>
  </w:num>
  <w:num w:numId="27">
    <w:abstractNumId w:val="24"/>
  </w:num>
  <w:num w:numId="28">
    <w:abstractNumId w:val="0"/>
  </w:num>
  <w:num w:numId="29">
    <w:abstractNumId w:val="7"/>
  </w:num>
  <w:num w:numId="30">
    <w:abstractNumId w:val="11"/>
  </w:num>
  <w:num w:numId="31">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CAE"/>
    <w:rsid w:val="000027EF"/>
    <w:rsid w:val="0000314D"/>
    <w:rsid w:val="000042A9"/>
    <w:rsid w:val="00007CC6"/>
    <w:rsid w:val="000146FF"/>
    <w:rsid w:val="000200E8"/>
    <w:rsid w:val="00020F3C"/>
    <w:rsid w:val="00023870"/>
    <w:rsid w:val="00023EB9"/>
    <w:rsid w:val="00027AB7"/>
    <w:rsid w:val="0003040A"/>
    <w:rsid w:val="00033167"/>
    <w:rsid w:val="000367FC"/>
    <w:rsid w:val="00037E72"/>
    <w:rsid w:val="00043DCF"/>
    <w:rsid w:val="000440F4"/>
    <w:rsid w:val="0004750C"/>
    <w:rsid w:val="0005258E"/>
    <w:rsid w:val="000561DF"/>
    <w:rsid w:val="000577EC"/>
    <w:rsid w:val="00060D96"/>
    <w:rsid w:val="00061F14"/>
    <w:rsid w:val="000631EB"/>
    <w:rsid w:val="00064AE4"/>
    <w:rsid w:val="00066069"/>
    <w:rsid w:val="00071486"/>
    <w:rsid w:val="000716AC"/>
    <w:rsid w:val="000748CF"/>
    <w:rsid w:val="000775BC"/>
    <w:rsid w:val="00080373"/>
    <w:rsid w:val="00080A4D"/>
    <w:rsid w:val="00081B2A"/>
    <w:rsid w:val="00090400"/>
    <w:rsid w:val="000912C7"/>
    <w:rsid w:val="000924F1"/>
    <w:rsid w:val="00092B1A"/>
    <w:rsid w:val="00093CA5"/>
    <w:rsid w:val="00093CE7"/>
    <w:rsid w:val="0009491F"/>
    <w:rsid w:val="0009515A"/>
    <w:rsid w:val="00096486"/>
    <w:rsid w:val="00096781"/>
    <w:rsid w:val="00097266"/>
    <w:rsid w:val="000A19E5"/>
    <w:rsid w:val="000A317C"/>
    <w:rsid w:val="000A4BC2"/>
    <w:rsid w:val="000A5443"/>
    <w:rsid w:val="000A6DBF"/>
    <w:rsid w:val="000A714A"/>
    <w:rsid w:val="000A7EE6"/>
    <w:rsid w:val="000B5D75"/>
    <w:rsid w:val="000B7742"/>
    <w:rsid w:val="000C1DB1"/>
    <w:rsid w:val="000C288B"/>
    <w:rsid w:val="000C380A"/>
    <w:rsid w:val="000C6A34"/>
    <w:rsid w:val="000D0FB2"/>
    <w:rsid w:val="000D46E8"/>
    <w:rsid w:val="000D5B0D"/>
    <w:rsid w:val="000D63F1"/>
    <w:rsid w:val="000D7561"/>
    <w:rsid w:val="000D7A44"/>
    <w:rsid w:val="000E086F"/>
    <w:rsid w:val="000E0D05"/>
    <w:rsid w:val="000E29BA"/>
    <w:rsid w:val="000F1947"/>
    <w:rsid w:val="000F5130"/>
    <w:rsid w:val="000F6737"/>
    <w:rsid w:val="00100D5C"/>
    <w:rsid w:val="0010184D"/>
    <w:rsid w:val="001052FF"/>
    <w:rsid w:val="001060AC"/>
    <w:rsid w:val="00110178"/>
    <w:rsid w:val="0011262C"/>
    <w:rsid w:val="001146FE"/>
    <w:rsid w:val="00116AB2"/>
    <w:rsid w:val="00116C66"/>
    <w:rsid w:val="001175C6"/>
    <w:rsid w:val="00122CD4"/>
    <w:rsid w:val="00124D4C"/>
    <w:rsid w:val="0013071C"/>
    <w:rsid w:val="0013202B"/>
    <w:rsid w:val="001347DA"/>
    <w:rsid w:val="00134D6F"/>
    <w:rsid w:val="00135928"/>
    <w:rsid w:val="00137136"/>
    <w:rsid w:val="00137B77"/>
    <w:rsid w:val="00142F02"/>
    <w:rsid w:val="00146014"/>
    <w:rsid w:val="001503ED"/>
    <w:rsid w:val="00151999"/>
    <w:rsid w:val="00153470"/>
    <w:rsid w:val="00154744"/>
    <w:rsid w:val="00154C09"/>
    <w:rsid w:val="00155810"/>
    <w:rsid w:val="001564A6"/>
    <w:rsid w:val="0015799D"/>
    <w:rsid w:val="00167462"/>
    <w:rsid w:val="00167C9B"/>
    <w:rsid w:val="0017270B"/>
    <w:rsid w:val="00174CC3"/>
    <w:rsid w:val="00185C0C"/>
    <w:rsid w:val="00187D34"/>
    <w:rsid w:val="00191FC0"/>
    <w:rsid w:val="00194524"/>
    <w:rsid w:val="00195EC0"/>
    <w:rsid w:val="001A030A"/>
    <w:rsid w:val="001A091B"/>
    <w:rsid w:val="001A3190"/>
    <w:rsid w:val="001A4258"/>
    <w:rsid w:val="001B0434"/>
    <w:rsid w:val="001B2A09"/>
    <w:rsid w:val="001B396B"/>
    <w:rsid w:val="001B4416"/>
    <w:rsid w:val="001C2476"/>
    <w:rsid w:val="001D0D22"/>
    <w:rsid w:val="001D178A"/>
    <w:rsid w:val="001D17A4"/>
    <w:rsid w:val="001D19DA"/>
    <w:rsid w:val="001D55A1"/>
    <w:rsid w:val="001D7E1E"/>
    <w:rsid w:val="001E0C56"/>
    <w:rsid w:val="001E2604"/>
    <w:rsid w:val="001E3599"/>
    <w:rsid w:val="001E65BF"/>
    <w:rsid w:val="001F247B"/>
    <w:rsid w:val="001F3087"/>
    <w:rsid w:val="00201C9F"/>
    <w:rsid w:val="00201E0A"/>
    <w:rsid w:val="002100FA"/>
    <w:rsid w:val="00211498"/>
    <w:rsid w:val="002114F6"/>
    <w:rsid w:val="00217665"/>
    <w:rsid w:val="00233129"/>
    <w:rsid w:val="00233EF8"/>
    <w:rsid w:val="00235C9E"/>
    <w:rsid w:val="00236430"/>
    <w:rsid w:val="002371BA"/>
    <w:rsid w:val="00241206"/>
    <w:rsid w:val="00242A10"/>
    <w:rsid w:val="00242D30"/>
    <w:rsid w:val="00243267"/>
    <w:rsid w:val="00246118"/>
    <w:rsid w:val="00246A4F"/>
    <w:rsid w:val="0026013D"/>
    <w:rsid w:val="002604E3"/>
    <w:rsid w:val="00261715"/>
    <w:rsid w:val="0026244A"/>
    <w:rsid w:val="00262710"/>
    <w:rsid w:val="0026352C"/>
    <w:rsid w:val="0026434E"/>
    <w:rsid w:val="002660E9"/>
    <w:rsid w:val="002667C9"/>
    <w:rsid w:val="002735A4"/>
    <w:rsid w:val="00273846"/>
    <w:rsid w:val="00277BBE"/>
    <w:rsid w:val="00280DCE"/>
    <w:rsid w:val="00282272"/>
    <w:rsid w:val="00285240"/>
    <w:rsid w:val="00285EED"/>
    <w:rsid w:val="00286953"/>
    <w:rsid w:val="00287996"/>
    <w:rsid w:val="00290E8F"/>
    <w:rsid w:val="00293D63"/>
    <w:rsid w:val="00295107"/>
    <w:rsid w:val="00295499"/>
    <w:rsid w:val="00297752"/>
    <w:rsid w:val="002A11C1"/>
    <w:rsid w:val="002A2AE8"/>
    <w:rsid w:val="002A304F"/>
    <w:rsid w:val="002A3069"/>
    <w:rsid w:val="002A5285"/>
    <w:rsid w:val="002A6AAB"/>
    <w:rsid w:val="002B6F25"/>
    <w:rsid w:val="002C1EC9"/>
    <w:rsid w:val="002C7418"/>
    <w:rsid w:val="002C74AD"/>
    <w:rsid w:val="002D19A8"/>
    <w:rsid w:val="002D1C2E"/>
    <w:rsid w:val="002D4EB1"/>
    <w:rsid w:val="002D7AF3"/>
    <w:rsid w:val="002E740E"/>
    <w:rsid w:val="002F02C6"/>
    <w:rsid w:val="00301C0A"/>
    <w:rsid w:val="00302C7B"/>
    <w:rsid w:val="00302D9D"/>
    <w:rsid w:val="00303EDE"/>
    <w:rsid w:val="00304D57"/>
    <w:rsid w:val="00306CD1"/>
    <w:rsid w:val="00310274"/>
    <w:rsid w:val="00310480"/>
    <w:rsid w:val="00316820"/>
    <w:rsid w:val="003227A2"/>
    <w:rsid w:val="00324DF8"/>
    <w:rsid w:val="00326D33"/>
    <w:rsid w:val="0032714E"/>
    <w:rsid w:val="00331058"/>
    <w:rsid w:val="00331BA7"/>
    <w:rsid w:val="003350D4"/>
    <w:rsid w:val="00340047"/>
    <w:rsid w:val="00340618"/>
    <w:rsid w:val="00341E95"/>
    <w:rsid w:val="003433CB"/>
    <w:rsid w:val="0035099E"/>
    <w:rsid w:val="003525CF"/>
    <w:rsid w:val="00352CB7"/>
    <w:rsid w:val="00353215"/>
    <w:rsid w:val="003532AA"/>
    <w:rsid w:val="0035690A"/>
    <w:rsid w:val="00356F0A"/>
    <w:rsid w:val="003618DD"/>
    <w:rsid w:val="00365D44"/>
    <w:rsid w:val="0036607C"/>
    <w:rsid w:val="00370CEC"/>
    <w:rsid w:val="00372139"/>
    <w:rsid w:val="00373853"/>
    <w:rsid w:val="00380CAA"/>
    <w:rsid w:val="0038315E"/>
    <w:rsid w:val="003861E8"/>
    <w:rsid w:val="003869CC"/>
    <w:rsid w:val="003873E8"/>
    <w:rsid w:val="00387D54"/>
    <w:rsid w:val="00394D9E"/>
    <w:rsid w:val="00396996"/>
    <w:rsid w:val="003A0BF5"/>
    <w:rsid w:val="003A193B"/>
    <w:rsid w:val="003A5290"/>
    <w:rsid w:val="003A6D99"/>
    <w:rsid w:val="003B16F3"/>
    <w:rsid w:val="003B1CB5"/>
    <w:rsid w:val="003B1D93"/>
    <w:rsid w:val="003B21F1"/>
    <w:rsid w:val="003B2A88"/>
    <w:rsid w:val="003B3C39"/>
    <w:rsid w:val="003B4390"/>
    <w:rsid w:val="003B4A16"/>
    <w:rsid w:val="003B4BA5"/>
    <w:rsid w:val="003B5A9B"/>
    <w:rsid w:val="003C1C46"/>
    <w:rsid w:val="003C5E8E"/>
    <w:rsid w:val="003C77F2"/>
    <w:rsid w:val="003D1A4E"/>
    <w:rsid w:val="003D2374"/>
    <w:rsid w:val="003D31EE"/>
    <w:rsid w:val="003E0E23"/>
    <w:rsid w:val="003E2185"/>
    <w:rsid w:val="003E2696"/>
    <w:rsid w:val="003E327F"/>
    <w:rsid w:val="003E3A44"/>
    <w:rsid w:val="003E411D"/>
    <w:rsid w:val="003E6654"/>
    <w:rsid w:val="003F0345"/>
    <w:rsid w:val="003F16EC"/>
    <w:rsid w:val="003F1F9B"/>
    <w:rsid w:val="003F5D4D"/>
    <w:rsid w:val="003F647B"/>
    <w:rsid w:val="003F7F16"/>
    <w:rsid w:val="00401872"/>
    <w:rsid w:val="00405015"/>
    <w:rsid w:val="0040580A"/>
    <w:rsid w:val="00411B32"/>
    <w:rsid w:val="00416F71"/>
    <w:rsid w:val="00416FC6"/>
    <w:rsid w:val="00417AB7"/>
    <w:rsid w:val="00421820"/>
    <w:rsid w:val="00421D98"/>
    <w:rsid w:val="00424E7F"/>
    <w:rsid w:val="00426C77"/>
    <w:rsid w:val="00430B5B"/>
    <w:rsid w:val="00431628"/>
    <w:rsid w:val="00431C2A"/>
    <w:rsid w:val="00433CBA"/>
    <w:rsid w:val="004369D3"/>
    <w:rsid w:val="00437086"/>
    <w:rsid w:val="0043709E"/>
    <w:rsid w:val="00440EEF"/>
    <w:rsid w:val="00442B31"/>
    <w:rsid w:val="00444D80"/>
    <w:rsid w:val="00446763"/>
    <w:rsid w:val="00452088"/>
    <w:rsid w:val="00456567"/>
    <w:rsid w:val="00460531"/>
    <w:rsid w:val="004606A1"/>
    <w:rsid w:val="00461D61"/>
    <w:rsid w:val="00461ED3"/>
    <w:rsid w:val="004632E2"/>
    <w:rsid w:val="00464E30"/>
    <w:rsid w:val="004664D6"/>
    <w:rsid w:val="00472534"/>
    <w:rsid w:val="00473614"/>
    <w:rsid w:val="00474648"/>
    <w:rsid w:val="00477C9D"/>
    <w:rsid w:val="00481662"/>
    <w:rsid w:val="004872C3"/>
    <w:rsid w:val="004901FF"/>
    <w:rsid w:val="00496915"/>
    <w:rsid w:val="004A1B89"/>
    <w:rsid w:val="004A2C63"/>
    <w:rsid w:val="004A4206"/>
    <w:rsid w:val="004A52D2"/>
    <w:rsid w:val="004A7C07"/>
    <w:rsid w:val="004B0D81"/>
    <w:rsid w:val="004B67BA"/>
    <w:rsid w:val="004B7B80"/>
    <w:rsid w:val="004C24F2"/>
    <w:rsid w:val="004C3FCC"/>
    <w:rsid w:val="004C786E"/>
    <w:rsid w:val="004D4296"/>
    <w:rsid w:val="004D757B"/>
    <w:rsid w:val="004E5FEA"/>
    <w:rsid w:val="004E6B46"/>
    <w:rsid w:val="004E730E"/>
    <w:rsid w:val="004F22A2"/>
    <w:rsid w:val="004F508C"/>
    <w:rsid w:val="004F5E87"/>
    <w:rsid w:val="00503E20"/>
    <w:rsid w:val="00505CAE"/>
    <w:rsid w:val="00507A22"/>
    <w:rsid w:val="00507CF7"/>
    <w:rsid w:val="00511BCA"/>
    <w:rsid w:val="00512278"/>
    <w:rsid w:val="005141F5"/>
    <w:rsid w:val="00520EC8"/>
    <w:rsid w:val="00521051"/>
    <w:rsid w:val="005215BC"/>
    <w:rsid w:val="0052532E"/>
    <w:rsid w:val="005308F6"/>
    <w:rsid w:val="00531A3A"/>
    <w:rsid w:val="0053288E"/>
    <w:rsid w:val="0053470F"/>
    <w:rsid w:val="005348A2"/>
    <w:rsid w:val="005362A5"/>
    <w:rsid w:val="005405DA"/>
    <w:rsid w:val="00542B6F"/>
    <w:rsid w:val="005453E2"/>
    <w:rsid w:val="00545BE2"/>
    <w:rsid w:val="0054625E"/>
    <w:rsid w:val="00546E5D"/>
    <w:rsid w:val="00547348"/>
    <w:rsid w:val="00550109"/>
    <w:rsid w:val="005504D8"/>
    <w:rsid w:val="00550DA2"/>
    <w:rsid w:val="00553F3D"/>
    <w:rsid w:val="0055768E"/>
    <w:rsid w:val="005603DD"/>
    <w:rsid w:val="00563D48"/>
    <w:rsid w:val="0056611D"/>
    <w:rsid w:val="005702FF"/>
    <w:rsid w:val="005741A1"/>
    <w:rsid w:val="00574366"/>
    <w:rsid w:val="00582145"/>
    <w:rsid w:val="00585CAC"/>
    <w:rsid w:val="0059177B"/>
    <w:rsid w:val="005935F7"/>
    <w:rsid w:val="00596E7A"/>
    <w:rsid w:val="00597938"/>
    <w:rsid w:val="005A08DB"/>
    <w:rsid w:val="005A0AB1"/>
    <w:rsid w:val="005B209A"/>
    <w:rsid w:val="005B5F4F"/>
    <w:rsid w:val="005C4490"/>
    <w:rsid w:val="005C5760"/>
    <w:rsid w:val="005D1AFC"/>
    <w:rsid w:val="005D1C98"/>
    <w:rsid w:val="005E1226"/>
    <w:rsid w:val="005E475A"/>
    <w:rsid w:val="005E499D"/>
    <w:rsid w:val="005E4DDA"/>
    <w:rsid w:val="005F0A4E"/>
    <w:rsid w:val="005F3DE6"/>
    <w:rsid w:val="005F7CB7"/>
    <w:rsid w:val="00605F27"/>
    <w:rsid w:val="00611621"/>
    <w:rsid w:val="006121F5"/>
    <w:rsid w:val="0061325A"/>
    <w:rsid w:val="00616F60"/>
    <w:rsid w:val="006170AF"/>
    <w:rsid w:val="00620DE8"/>
    <w:rsid w:val="006228E3"/>
    <w:rsid w:val="00624C28"/>
    <w:rsid w:val="006252DF"/>
    <w:rsid w:val="00625C78"/>
    <w:rsid w:val="00625E68"/>
    <w:rsid w:val="00627211"/>
    <w:rsid w:val="00640A04"/>
    <w:rsid w:val="00640A20"/>
    <w:rsid w:val="00642E9E"/>
    <w:rsid w:val="00642F8C"/>
    <w:rsid w:val="006433EB"/>
    <w:rsid w:val="006474DA"/>
    <w:rsid w:val="00655F52"/>
    <w:rsid w:val="0066073C"/>
    <w:rsid w:val="00661BA2"/>
    <w:rsid w:val="00662AE5"/>
    <w:rsid w:val="006644E4"/>
    <w:rsid w:val="00665C83"/>
    <w:rsid w:val="00665E08"/>
    <w:rsid w:val="00666D5E"/>
    <w:rsid w:val="006714DC"/>
    <w:rsid w:val="00675222"/>
    <w:rsid w:val="0067553F"/>
    <w:rsid w:val="0068281E"/>
    <w:rsid w:val="0068464C"/>
    <w:rsid w:val="00685B20"/>
    <w:rsid w:val="00686894"/>
    <w:rsid w:val="006907D6"/>
    <w:rsid w:val="006916E4"/>
    <w:rsid w:val="00691FF6"/>
    <w:rsid w:val="00692FF7"/>
    <w:rsid w:val="006A0342"/>
    <w:rsid w:val="006A132D"/>
    <w:rsid w:val="006A7C93"/>
    <w:rsid w:val="006A7CBB"/>
    <w:rsid w:val="006C0E14"/>
    <w:rsid w:val="006C14FE"/>
    <w:rsid w:val="006C63D0"/>
    <w:rsid w:val="006C6918"/>
    <w:rsid w:val="006D11C7"/>
    <w:rsid w:val="006D1F7A"/>
    <w:rsid w:val="006D2047"/>
    <w:rsid w:val="006D37C3"/>
    <w:rsid w:val="006D5D0E"/>
    <w:rsid w:val="006E5A0B"/>
    <w:rsid w:val="006E631E"/>
    <w:rsid w:val="006E792A"/>
    <w:rsid w:val="006F1B1F"/>
    <w:rsid w:val="007046FB"/>
    <w:rsid w:val="00704A22"/>
    <w:rsid w:val="00713EDD"/>
    <w:rsid w:val="00713FE1"/>
    <w:rsid w:val="00714411"/>
    <w:rsid w:val="00722963"/>
    <w:rsid w:val="0072407C"/>
    <w:rsid w:val="00725BD2"/>
    <w:rsid w:val="0073336A"/>
    <w:rsid w:val="00734C82"/>
    <w:rsid w:val="0073571D"/>
    <w:rsid w:val="00736B2D"/>
    <w:rsid w:val="007457AC"/>
    <w:rsid w:val="00747EA1"/>
    <w:rsid w:val="0075353F"/>
    <w:rsid w:val="0075790A"/>
    <w:rsid w:val="00757C36"/>
    <w:rsid w:val="00760958"/>
    <w:rsid w:val="00760F04"/>
    <w:rsid w:val="00767F73"/>
    <w:rsid w:val="00770991"/>
    <w:rsid w:val="007752C2"/>
    <w:rsid w:val="007774CF"/>
    <w:rsid w:val="00777AF5"/>
    <w:rsid w:val="00780F34"/>
    <w:rsid w:val="0078122B"/>
    <w:rsid w:val="007864FF"/>
    <w:rsid w:val="00787092"/>
    <w:rsid w:val="0078798E"/>
    <w:rsid w:val="00794CF5"/>
    <w:rsid w:val="00794F0C"/>
    <w:rsid w:val="00795CD4"/>
    <w:rsid w:val="00797161"/>
    <w:rsid w:val="007A1D42"/>
    <w:rsid w:val="007A3EF8"/>
    <w:rsid w:val="007A4842"/>
    <w:rsid w:val="007B29B7"/>
    <w:rsid w:val="007B4EFE"/>
    <w:rsid w:val="007C28E9"/>
    <w:rsid w:val="007C425B"/>
    <w:rsid w:val="007C5124"/>
    <w:rsid w:val="007C52CB"/>
    <w:rsid w:val="007C725E"/>
    <w:rsid w:val="007D4F33"/>
    <w:rsid w:val="007D5B09"/>
    <w:rsid w:val="007D69DF"/>
    <w:rsid w:val="007E0E64"/>
    <w:rsid w:val="007E2D81"/>
    <w:rsid w:val="007E3B34"/>
    <w:rsid w:val="007E64E4"/>
    <w:rsid w:val="007F0D0A"/>
    <w:rsid w:val="007F105F"/>
    <w:rsid w:val="007F15CA"/>
    <w:rsid w:val="007F2BA5"/>
    <w:rsid w:val="007F3F72"/>
    <w:rsid w:val="007F441B"/>
    <w:rsid w:val="007F5B7A"/>
    <w:rsid w:val="00800E7E"/>
    <w:rsid w:val="00803C56"/>
    <w:rsid w:val="00806D8E"/>
    <w:rsid w:val="00812028"/>
    <w:rsid w:val="008121B5"/>
    <w:rsid w:val="00812646"/>
    <w:rsid w:val="0081386B"/>
    <w:rsid w:val="00820D74"/>
    <w:rsid w:val="00822329"/>
    <w:rsid w:val="00823D77"/>
    <w:rsid w:val="00825B0D"/>
    <w:rsid w:val="00826458"/>
    <w:rsid w:val="00826E07"/>
    <w:rsid w:val="008308CD"/>
    <w:rsid w:val="00833119"/>
    <w:rsid w:val="00833BDC"/>
    <w:rsid w:val="00836F8B"/>
    <w:rsid w:val="00837949"/>
    <w:rsid w:val="00837DB0"/>
    <w:rsid w:val="00840E6F"/>
    <w:rsid w:val="00841DFC"/>
    <w:rsid w:val="00842319"/>
    <w:rsid w:val="00842A82"/>
    <w:rsid w:val="00842CFD"/>
    <w:rsid w:val="00844C69"/>
    <w:rsid w:val="00845A97"/>
    <w:rsid w:val="00851759"/>
    <w:rsid w:val="0085179E"/>
    <w:rsid w:val="00854B19"/>
    <w:rsid w:val="008564C7"/>
    <w:rsid w:val="00856C35"/>
    <w:rsid w:val="0085740D"/>
    <w:rsid w:val="0085765B"/>
    <w:rsid w:val="0086167C"/>
    <w:rsid w:val="008638AC"/>
    <w:rsid w:val="00866D8E"/>
    <w:rsid w:val="00867351"/>
    <w:rsid w:val="008721C2"/>
    <w:rsid w:val="008722DA"/>
    <w:rsid w:val="00874486"/>
    <w:rsid w:val="00875BD7"/>
    <w:rsid w:val="00876B5F"/>
    <w:rsid w:val="00880C60"/>
    <w:rsid w:val="008814EE"/>
    <w:rsid w:val="008836F1"/>
    <w:rsid w:val="00883753"/>
    <w:rsid w:val="0088504B"/>
    <w:rsid w:val="00887A20"/>
    <w:rsid w:val="00887AC7"/>
    <w:rsid w:val="008947E7"/>
    <w:rsid w:val="00894D41"/>
    <w:rsid w:val="008964B0"/>
    <w:rsid w:val="008A29D2"/>
    <w:rsid w:val="008A6F87"/>
    <w:rsid w:val="008A7448"/>
    <w:rsid w:val="008B324A"/>
    <w:rsid w:val="008B47F9"/>
    <w:rsid w:val="008B6FED"/>
    <w:rsid w:val="008C2ABB"/>
    <w:rsid w:val="008C2EFB"/>
    <w:rsid w:val="008C699A"/>
    <w:rsid w:val="008C6BB0"/>
    <w:rsid w:val="008D0407"/>
    <w:rsid w:val="008D13F9"/>
    <w:rsid w:val="008E22FE"/>
    <w:rsid w:val="008E60F9"/>
    <w:rsid w:val="008F2167"/>
    <w:rsid w:val="008F5737"/>
    <w:rsid w:val="008F5ED1"/>
    <w:rsid w:val="00901375"/>
    <w:rsid w:val="00901EDC"/>
    <w:rsid w:val="009034DC"/>
    <w:rsid w:val="0090766A"/>
    <w:rsid w:val="00912909"/>
    <w:rsid w:val="00916D16"/>
    <w:rsid w:val="0092120A"/>
    <w:rsid w:val="00921DBF"/>
    <w:rsid w:val="0092210B"/>
    <w:rsid w:val="009238F8"/>
    <w:rsid w:val="00923F8B"/>
    <w:rsid w:val="00925707"/>
    <w:rsid w:val="009258FA"/>
    <w:rsid w:val="00926BF0"/>
    <w:rsid w:val="00926F94"/>
    <w:rsid w:val="00933B2D"/>
    <w:rsid w:val="00935382"/>
    <w:rsid w:val="0095146F"/>
    <w:rsid w:val="00952BFD"/>
    <w:rsid w:val="009530B2"/>
    <w:rsid w:val="0095419B"/>
    <w:rsid w:val="00960217"/>
    <w:rsid w:val="00960BCB"/>
    <w:rsid w:val="009611A8"/>
    <w:rsid w:val="0096386C"/>
    <w:rsid w:val="009646FA"/>
    <w:rsid w:val="00965EF7"/>
    <w:rsid w:val="00966EFE"/>
    <w:rsid w:val="00967021"/>
    <w:rsid w:val="00967890"/>
    <w:rsid w:val="00970AA5"/>
    <w:rsid w:val="009729A8"/>
    <w:rsid w:val="00973153"/>
    <w:rsid w:val="0098027D"/>
    <w:rsid w:val="00983691"/>
    <w:rsid w:val="00984706"/>
    <w:rsid w:val="00990769"/>
    <w:rsid w:val="00992544"/>
    <w:rsid w:val="00993E10"/>
    <w:rsid w:val="009957E0"/>
    <w:rsid w:val="009A22C5"/>
    <w:rsid w:val="009A370F"/>
    <w:rsid w:val="009A61D2"/>
    <w:rsid w:val="009A6442"/>
    <w:rsid w:val="009A77A7"/>
    <w:rsid w:val="009B1630"/>
    <w:rsid w:val="009B3E1A"/>
    <w:rsid w:val="009B5651"/>
    <w:rsid w:val="009B7529"/>
    <w:rsid w:val="009C6C18"/>
    <w:rsid w:val="009C7375"/>
    <w:rsid w:val="009D192A"/>
    <w:rsid w:val="009D3F89"/>
    <w:rsid w:val="009D4500"/>
    <w:rsid w:val="009D606F"/>
    <w:rsid w:val="009D6911"/>
    <w:rsid w:val="009E1F03"/>
    <w:rsid w:val="009E3B6B"/>
    <w:rsid w:val="009E6552"/>
    <w:rsid w:val="009F10FB"/>
    <w:rsid w:val="009F36A4"/>
    <w:rsid w:val="009F4DC0"/>
    <w:rsid w:val="009F53DA"/>
    <w:rsid w:val="009F6995"/>
    <w:rsid w:val="00A02DAF"/>
    <w:rsid w:val="00A03F76"/>
    <w:rsid w:val="00A046ED"/>
    <w:rsid w:val="00A049E9"/>
    <w:rsid w:val="00A057F2"/>
    <w:rsid w:val="00A10BA2"/>
    <w:rsid w:val="00A117F5"/>
    <w:rsid w:val="00A121B9"/>
    <w:rsid w:val="00A14A36"/>
    <w:rsid w:val="00A162A3"/>
    <w:rsid w:val="00A168A5"/>
    <w:rsid w:val="00A16DE3"/>
    <w:rsid w:val="00A1751C"/>
    <w:rsid w:val="00A17B14"/>
    <w:rsid w:val="00A21A81"/>
    <w:rsid w:val="00A21B83"/>
    <w:rsid w:val="00A23B0B"/>
    <w:rsid w:val="00A2475A"/>
    <w:rsid w:val="00A2629D"/>
    <w:rsid w:val="00A32807"/>
    <w:rsid w:val="00A338E0"/>
    <w:rsid w:val="00A3460C"/>
    <w:rsid w:val="00A35632"/>
    <w:rsid w:val="00A37D18"/>
    <w:rsid w:val="00A4518F"/>
    <w:rsid w:val="00A45559"/>
    <w:rsid w:val="00A45C0D"/>
    <w:rsid w:val="00A46FA3"/>
    <w:rsid w:val="00A500C0"/>
    <w:rsid w:val="00A50456"/>
    <w:rsid w:val="00A5045A"/>
    <w:rsid w:val="00A56069"/>
    <w:rsid w:val="00A622CA"/>
    <w:rsid w:val="00A6499B"/>
    <w:rsid w:val="00A72AEB"/>
    <w:rsid w:val="00A73932"/>
    <w:rsid w:val="00A74EDE"/>
    <w:rsid w:val="00A80753"/>
    <w:rsid w:val="00A80807"/>
    <w:rsid w:val="00A839BE"/>
    <w:rsid w:val="00A872A4"/>
    <w:rsid w:val="00A9331E"/>
    <w:rsid w:val="00A9396D"/>
    <w:rsid w:val="00A950F1"/>
    <w:rsid w:val="00A9563D"/>
    <w:rsid w:val="00AA1210"/>
    <w:rsid w:val="00AA39EE"/>
    <w:rsid w:val="00AA4A2E"/>
    <w:rsid w:val="00AA5437"/>
    <w:rsid w:val="00AA6E59"/>
    <w:rsid w:val="00AA79AC"/>
    <w:rsid w:val="00AB0FE9"/>
    <w:rsid w:val="00AB1438"/>
    <w:rsid w:val="00AB3838"/>
    <w:rsid w:val="00AB42BC"/>
    <w:rsid w:val="00AB5023"/>
    <w:rsid w:val="00AC49D3"/>
    <w:rsid w:val="00AC69D3"/>
    <w:rsid w:val="00AC73C3"/>
    <w:rsid w:val="00AD0211"/>
    <w:rsid w:val="00AD523F"/>
    <w:rsid w:val="00AE044A"/>
    <w:rsid w:val="00AE0A1C"/>
    <w:rsid w:val="00AE0F85"/>
    <w:rsid w:val="00AE4BE3"/>
    <w:rsid w:val="00AE5327"/>
    <w:rsid w:val="00AE6AAA"/>
    <w:rsid w:val="00AE7863"/>
    <w:rsid w:val="00AF38BC"/>
    <w:rsid w:val="00B02093"/>
    <w:rsid w:val="00B02155"/>
    <w:rsid w:val="00B03B89"/>
    <w:rsid w:val="00B05AC0"/>
    <w:rsid w:val="00B11FEB"/>
    <w:rsid w:val="00B125C7"/>
    <w:rsid w:val="00B1457E"/>
    <w:rsid w:val="00B20465"/>
    <w:rsid w:val="00B20D8E"/>
    <w:rsid w:val="00B22FEB"/>
    <w:rsid w:val="00B2641B"/>
    <w:rsid w:val="00B326E1"/>
    <w:rsid w:val="00B367C6"/>
    <w:rsid w:val="00B37F20"/>
    <w:rsid w:val="00B40AAD"/>
    <w:rsid w:val="00B5192C"/>
    <w:rsid w:val="00B5519D"/>
    <w:rsid w:val="00B557FF"/>
    <w:rsid w:val="00B57D10"/>
    <w:rsid w:val="00B6104C"/>
    <w:rsid w:val="00B629C6"/>
    <w:rsid w:val="00B71970"/>
    <w:rsid w:val="00B83699"/>
    <w:rsid w:val="00B837E9"/>
    <w:rsid w:val="00B845F4"/>
    <w:rsid w:val="00B8772C"/>
    <w:rsid w:val="00B87C99"/>
    <w:rsid w:val="00B91229"/>
    <w:rsid w:val="00B95534"/>
    <w:rsid w:val="00B9584A"/>
    <w:rsid w:val="00B96DCA"/>
    <w:rsid w:val="00BA2958"/>
    <w:rsid w:val="00BA2F66"/>
    <w:rsid w:val="00BB0D34"/>
    <w:rsid w:val="00BB5F7E"/>
    <w:rsid w:val="00BC0462"/>
    <w:rsid w:val="00BC1F1C"/>
    <w:rsid w:val="00BC20EA"/>
    <w:rsid w:val="00BC515C"/>
    <w:rsid w:val="00BD0ACA"/>
    <w:rsid w:val="00BD0E60"/>
    <w:rsid w:val="00BD1D42"/>
    <w:rsid w:val="00BE118B"/>
    <w:rsid w:val="00BE11B1"/>
    <w:rsid w:val="00BE2283"/>
    <w:rsid w:val="00BE32C8"/>
    <w:rsid w:val="00BE5A00"/>
    <w:rsid w:val="00BF0C57"/>
    <w:rsid w:val="00BF4DB6"/>
    <w:rsid w:val="00BF6A8D"/>
    <w:rsid w:val="00BF7247"/>
    <w:rsid w:val="00C00401"/>
    <w:rsid w:val="00C0431F"/>
    <w:rsid w:val="00C05B2D"/>
    <w:rsid w:val="00C112D6"/>
    <w:rsid w:val="00C128EA"/>
    <w:rsid w:val="00C129CF"/>
    <w:rsid w:val="00C13A5B"/>
    <w:rsid w:val="00C143AE"/>
    <w:rsid w:val="00C14A33"/>
    <w:rsid w:val="00C17B90"/>
    <w:rsid w:val="00C2573A"/>
    <w:rsid w:val="00C264E2"/>
    <w:rsid w:val="00C26521"/>
    <w:rsid w:val="00C27A28"/>
    <w:rsid w:val="00C31526"/>
    <w:rsid w:val="00C32571"/>
    <w:rsid w:val="00C33B3D"/>
    <w:rsid w:val="00C34162"/>
    <w:rsid w:val="00C34513"/>
    <w:rsid w:val="00C42475"/>
    <w:rsid w:val="00C424F0"/>
    <w:rsid w:val="00C4264B"/>
    <w:rsid w:val="00C42E2B"/>
    <w:rsid w:val="00C46A7E"/>
    <w:rsid w:val="00C53047"/>
    <w:rsid w:val="00C548AF"/>
    <w:rsid w:val="00C55417"/>
    <w:rsid w:val="00C60A8C"/>
    <w:rsid w:val="00C63531"/>
    <w:rsid w:val="00C63CE4"/>
    <w:rsid w:val="00C653BE"/>
    <w:rsid w:val="00C71FBF"/>
    <w:rsid w:val="00C72501"/>
    <w:rsid w:val="00C74427"/>
    <w:rsid w:val="00C753A4"/>
    <w:rsid w:val="00C8378C"/>
    <w:rsid w:val="00C8383C"/>
    <w:rsid w:val="00C84FF6"/>
    <w:rsid w:val="00C87C89"/>
    <w:rsid w:val="00C90763"/>
    <w:rsid w:val="00CA122C"/>
    <w:rsid w:val="00CA16A7"/>
    <w:rsid w:val="00CA2D4E"/>
    <w:rsid w:val="00CA3303"/>
    <w:rsid w:val="00CA51C8"/>
    <w:rsid w:val="00CB2C3F"/>
    <w:rsid w:val="00CB4C5A"/>
    <w:rsid w:val="00CB4F9D"/>
    <w:rsid w:val="00CB505A"/>
    <w:rsid w:val="00CC27C7"/>
    <w:rsid w:val="00CC7D03"/>
    <w:rsid w:val="00CD3E6D"/>
    <w:rsid w:val="00CE2EFD"/>
    <w:rsid w:val="00CE7B53"/>
    <w:rsid w:val="00CF052D"/>
    <w:rsid w:val="00CF1D77"/>
    <w:rsid w:val="00CF247B"/>
    <w:rsid w:val="00CF26CF"/>
    <w:rsid w:val="00CF3819"/>
    <w:rsid w:val="00CF4371"/>
    <w:rsid w:val="00CF77DC"/>
    <w:rsid w:val="00CF788C"/>
    <w:rsid w:val="00CF788F"/>
    <w:rsid w:val="00D026FD"/>
    <w:rsid w:val="00D05B3A"/>
    <w:rsid w:val="00D063BF"/>
    <w:rsid w:val="00D11069"/>
    <w:rsid w:val="00D14BF0"/>
    <w:rsid w:val="00D15D91"/>
    <w:rsid w:val="00D22622"/>
    <w:rsid w:val="00D245B9"/>
    <w:rsid w:val="00D2496E"/>
    <w:rsid w:val="00D2701A"/>
    <w:rsid w:val="00D270D0"/>
    <w:rsid w:val="00D27373"/>
    <w:rsid w:val="00D3104F"/>
    <w:rsid w:val="00D35459"/>
    <w:rsid w:val="00D413D7"/>
    <w:rsid w:val="00D45CE3"/>
    <w:rsid w:val="00D520E6"/>
    <w:rsid w:val="00D5255F"/>
    <w:rsid w:val="00D52A85"/>
    <w:rsid w:val="00D5409D"/>
    <w:rsid w:val="00D56BBF"/>
    <w:rsid w:val="00D62AE5"/>
    <w:rsid w:val="00D64AAA"/>
    <w:rsid w:val="00D64C74"/>
    <w:rsid w:val="00D65528"/>
    <w:rsid w:val="00D66ECB"/>
    <w:rsid w:val="00D72B28"/>
    <w:rsid w:val="00D7399E"/>
    <w:rsid w:val="00D74871"/>
    <w:rsid w:val="00D749CF"/>
    <w:rsid w:val="00D75165"/>
    <w:rsid w:val="00D75CF6"/>
    <w:rsid w:val="00D76C65"/>
    <w:rsid w:val="00D80C33"/>
    <w:rsid w:val="00D8169A"/>
    <w:rsid w:val="00D821C1"/>
    <w:rsid w:val="00D863B0"/>
    <w:rsid w:val="00D87E2B"/>
    <w:rsid w:val="00D903BC"/>
    <w:rsid w:val="00DA0A7E"/>
    <w:rsid w:val="00DA0F9F"/>
    <w:rsid w:val="00DA3125"/>
    <w:rsid w:val="00DA40F4"/>
    <w:rsid w:val="00DA4331"/>
    <w:rsid w:val="00DB554C"/>
    <w:rsid w:val="00DB6EB4"/>
    <w:rsid w:val="00DC005E"/>
    <w:rsid w:val="00DC0363"/>
    <w:rsid w:val="00DC0710"/>
    <w:rsid w:val="00DC213F"/>
    <w:rsid w:val="00DC36A3"/>
    <w:rsid w:val="00DC49FA"/>
    <w:rsid w:val="00DD106A"/>
    <w:rsid w:val="00DD6543"/>
    <w:rsid w:val="00DD654F"/>
    <w:rsid w:val="00DE1F3B"/>
    <w:rsid w:val="00DE2E1C"/>
    <w:rsid w:val="00DE37C0"/>
    <w:rsid w:val="00DF67B6"/>
    <w:rsid w:val="00E00272"/>
    <w:rsid w:val="00E009F8"/>
    <w:rsid w:val="00E06F9E"/>
    <w:rsid w:val="00E10305"/>
    <w:rsid w:val="00E10769"/>
    <w:rsid w:val="00E11D53"/>
    <w:rsid w:val="00E13CF0"/>
    <w:rsid w:val="00E1695D"/>
    <w:rsid w:val="00E23A5F"/>
    <w:rsid w:val="00E24C7D"/>
    <w:rsid w:val="00E275F3"/>
    <w:rsid w:val="00E27F0C"/>
    <w:rsid w:val="00E315EE"/>
    <w:rsid w:val="00E330FA"/>
    <w:rsid w:val="00E33270"/>
    <w:rsid w:val="00E332AD"/>
    <w:rsid w:val="00E3486C"/>
    <w:rsid w:val="00E34B76"/>
    <w:rsid w:val="00E437B9"/>
    <w:rsid w:val="00E43A3C"/>
    <w:rsid w:val="00E43EC1"/>
    <w:rsid w:val="00E44ABE"/>
    <w:rsid w:val="00E51CDD"/>
    <w:rsid w:val="00E5328C"/>
    <w:rsid w:val="00E61E28"/>
    <w:rsid w:val="00E74679"/>
    <w:rsid w:val="00E76C12"/>
    <w:rsid w:val="00E81C76"/>
    <w:rsid w:val="00E827D9"/>
    <w:rsid w:val="00E84D3E"/>
    <w:rsid w:val="00E877B2"/>
    <w:rsid w:val="00E93651"/>
    <w:rsid w:val="00E942F7"/>
    <w:rsid w:val="00E97043"/>
    <w:rsid w:val="00EA37AB"/>
    <w:rsid w:val="00EA4A0B"/>
    <w:rsid w:val="00EA5B3D"/>
    <w:rsid w:val="00EA6C80"/>
    <w:rsid w:val="00EA75C4"/>
    <w:rsid w:val="00EB6517"/>
    <w:rsid w:val="00EC162F"/>
    <w:rsid w:val="00EC4048"/>
    <w:rsid w:val="00EC5AAB"/>
    <w:rsid w:val="00EC7BB9"/>
    <w:rsid w:val="00ED3104"/>
    <w:rsid w:val="00ED657C"/>
    <w:rsid w:val="00EE1ACD"/>
    <w:rsid w:val="00EE3330"/>
    <w:rsid w:val="00EE379C"/>
    <w:rsid w:val="00EE4D5F"/>
    <w:rsid w:val="00EE7E5A"/>
    <w:rsid w:val="00EF3F05"/>
    <w:rsid w:val="00F00360"/>
    <w:rsid w:val="00F00464"/>
    <w:rsid w:val="00F01B3D"/>
    <w:rsid w:val="00F17C4B"/>
    <w:rsid w:val="00F22F3E"/>
    <w:rsid w:val="00F240D7"/>
    <w:rsid w:val="00F25196"/>
    <w:rsid w:val="00F25FA1"/>
    <w:rsid w:val="00F30A56"/>
    <w:rsid w:val="00F30A73"/>
    <w:rsid w:val="00F3453F"/>
    <w:rsid w:val="00F36E2B"/>
    <w:rsid w:val="00F40EA7"/>
    <w:rsid w:val="00F43ACD"/>
    <w:rsid w:val="00F47A99"/>
    <w:rsid w:val="00F503FA"/>
    <w:rsid w:val="00F50711"/>
    <w:rsid w:val="00F536F8"/>
    <w:rsid w:val="00F54142"/>
    <w:rsid w:val="00F6007A"/>
    <w:rsid w:val="00F613A6"/>
    <w:rsid w:val="00F6183B"/>
    <w:rsid w:val="00F62DC0"/>
    <w:rsid w:val="00F634CB"/>
    <w:rsid w:val="00F6696F"/>
    <w:rsid w:val="00F67BF0"/>
    <w:rsid w:val="00F75288"/>
    <w:rsid w:val="00F75AFF"/>
    <w:rsid w:val="00F75CB0"/>
    <w:rsid w:val="00F77647"/>
    <w:rsid w:val="00F85C6C"/>
    <w:rsid w:val="00F871DC"/>
    <w:rsid w:val="00F87980"/>
    <w:rsid w:val="00F91E1C"/>
    <w:rsid w:val="00F93E16"/>
    <w:rsid w:val="00F942A8"/>
    <w:rsid w:val="00F95D27"/>
    <w:rsid w:val="00F96123"/>
    <w:rsid w:val="00FA097B"/>
    <w:rsid w:val="00FA0B6C"/>
    <w:rsid w:val="00FA2906"/>
    <w:rsid w:val="00FA4C4B"/>
    <w:rsid w:val="00FA579C"/>
    <w:rsid w:val="00FA608E"/>
    <w:rsid w:val="00FB0DB6"/>
    <w:rsid w:val="00FB1672"/>
    <w:rsid w:val="00FB3941"/>
    <w:rsid w:val="00FB4AB0"/>
    <w:rsid w:val="00FB5F22"/>
    <w:rsid w:val="00FB7953"/>
    <w:rsid w:val="00FC31CC"/>
    <w:rsid w:val="00FC5BF4"/>
    <w:rsid w:val="00FD0081"/>
    <w:rsid w:val="00FD0873"/>
    <w:rsid w:val="00FD2272"/>
    <w:rsid w:val="00FD6B63"/>
    <w:rsid w:val="00FD7009"/>
    <w:rsid w:val="00FE0A6A"/>
    <w:rsid w:val="00FE2193"/>
    <w:rsid w:val="00FF1D98"/>
    <w:rsid w:val="00FF3F44"/>
    <w:rsid w:val="00FF4E9E"/>
    <w:rsid w:val="00FF59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4DF54"/>
  <w15:docId w15:val="{17CBC013-13DD-4A12-96E7-FB7D6860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imes New Roman"/>
        <w:lang w:val="de-DE" w:eastAsia="en-GB" w:bidi="ar-SA"/>
      </w:rPr>
    </w:rPrDefault>
    <w:pPrDefault/>
  </w:docDefaults>
  <w:latentStyles w:defLockedState="0" w:defUIPriority="99" w:defSemiHidden="0" w:defUnhideWhenUsed="0" w:defQFormat="0" w:count="377">
    <w:lsdException w:name="Normal" w:uiPriority="5" w:qFormat="1"/>
    <w:lsdException w:name="heading 1" w:uiPriority="2" w:qFormat="1"/>
    <w:lsdException w:name="heading 2" w:semiHidden="1" w:uiPriority="2" w:unhideWhenUsed="1" w:qFormat="1"/>
    <w:lsdException w:name="heading 3" w:semiHidden="1" w:uiPriority="2" w:unhideWhenUsed="1"/>
    <w:lsdException w:name="heading 4" w:semiHidden="1" w:unhideWhenUsed="1" w:qFormat="1"/>
    <w:lsdException w:name="heading 5" w:semiHidden="1" w:unhideWhenUsed="1" w:qFormat="1"/>
    <w:lsdException w:name="heading 6" w:semiHidden="1" w:uiPriority="34" w:unhideWhenUsed="1" w:qFormat="1"/>
    <w:lsdException w:name="heading 7" w:semiHidden="1" w:uiPriority="34" w:unhideWhenUsed="1" w:qFormat="1"/>
    <w:lsdException w:name="heading 8" w:semiHidden="1" w:uiPriority="34" w:unhideWhenUsed="1" w:qFormat="1"/>
    <w:lsdException w:name="heading 9" w:semiHidden="1" w:uiPriority="3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9" w:unhideWhenUsed="1"/>
    <w:lsdException w:name="footer" w:semiHidden="1" w:uiPriority="2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4"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24"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uiPriority w:val="5"/>
    <w:qFormat/>
    <w:rsid w:val="0075790A"/>
    <w:pPr>
      <w:spacing w:line="260" w:lineRule="atLeast"/>
    </w:pPr>
    <w:rPr>
      <w:sz w:val="22"/>
      <w:szCs w:val="22"/>
    </w:rPr>
  </w:style>
  <w:style w:type="paragraph" w:styleId="Heading1">
    <w:name w:val="heading 1"/>
    <w:basedOn w:val="Normal"/>
    <w:next w:val="BodyText"/>
    <w:link w:val="Heading1Char"/>
    <w:uiPriority w:val="2"/>
    <w:qFormat/>
    <w:rsid w:val="0075790A"/>
    <w:pPr>
      <w:spacing w:before="240" w:after="120"/>
      <w:outlineLvl w:val="0"/>
    </w:pPr>
    <w:rPr>
      <w:b/>
    </w:rPr>
  </w:style>
  <w:style w:type="paragraph" w:styleId="Heading2">
    <w:name w:val="heading 2"/>
    <w:basedOn w:val="Heading1"/>
    <w:next w:val="BodyText"/>
    <w:link w:val="Heading2Char"/>
    <w:uiPriority w:val="2"/>
    <w:qFormat/>
    <w:rsid w:val="0075790A"/>
    <w:pPr>
      <w:numPr>
        <w:ilvl w:val="1"/>
      </w:numPr>
      <w:spacing w:after="0"/>
      <w:outlineLvl w:val="1"/>
    </w:pPr>
  </w:style>
  <w:style w:type="paragraph" w:styleId="Heading3">
    <w:name w:val="heading 3"/>
    <w:basedOn w:val="Normal"/>
    <w:next w:val="BodyText"/>
    <w:link w:val="Heading3Char"/>
    <w:uiPriority w:val="2"/>
    <w:rsid w:val="0075790A"/>
    <w:pPr>
      <w:keepNext/>
      <w:keepLines/>
      <w:spacing w:before="240"/>
      <w:outlineLvl w:val="2"/>
    </w:pPr>
    <w:rPr>
      <w:rFonts w:eastAsiaTheme="majorEastAsia" w:cstheme="majorBidi"/>
      <w:color w:val="78A22F" w:themeColor="accent1"/>
      <w:szCs w:val="24"/>
    </w:rPr>
  </w:style>
  <w:style w:type="paragraph" w:styleId="Heading4">
    <w:name w:val="heading 4"/>
    <w:basedOn w:val="Normal"/>
    <w:next w:val="BodyText"/>
    <w:link w:val="Heading4Char"/>
    <w:uiPriority w:val="99"/>
    <w:rsid w:val="0075790A"/>
    <w:pPr>
      <w:keepNext/>
      <w:keepLines/>
      <w:outlineLvl w:val="3"/>
    </w:pPr>
    <w:rPr>
      <w:rFonts w:eastAsiaTheme="majorEastAsia" w:cstheme="majorBidi"/>
      <w:b/>
      <w:iCs/>
      <w:color w:val="808285" w:themeColor="accent5"/>
    </w:rPr>
  </w:style>
  <w:style w:type="paragraph" w:styleId="Heading5">
    <w:name w:val="heading 5"/>
    <w:basedOn w:val="Normal"/>
    <w:next w:val="BodyText"/>
    <w:link w:val="Heading5Char"/>
    <w:uiPriority w:val="99"/>
    <w:rsid w:val="0075790A"/>
    <w:pPr>
      <w:keepNext/>
      <w:keepLines/>
      <w:outlineLvl w:val="4"/>
    </w:pPr>
    <w:rPr>
      <w:rFonts w:eastAsiaTheme="majorEastAsia" w:cstheme="majorBid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9"/>
    <w:rsid w:val="0075790A"/>
    <w:pPr>
      <w:tabs>
        <w:tab w:val="center" w:pos="4513"/>
        <w:tab w:val="right" w:pos="9026"/>
      </w:tabs>
      <w:spacing w:line="240" w:lineRule="auto"/>
      <w:jc w:val="right"/>
    </w:pPr>
    <w:rPr>
      <w:rFonts w:asciiTheme="majorHAnsi" w:hAnsiTheme="majorHAnsi"/>
      <w:sz w:val="18"/>
    </w:rPr>
  </w:style>
  <w:style w:type="character" w:customStyle="1" w:styleId="HeaderChar">
    <w:name w:val="Header Char"/>
    <w:basedOn w:val="DefaultParagraphFont"/>
    <w:link w:val="Header"/>
    <w:uiPriority w:val="29"/>
    <w:rsid w:val="0075790A"/>
    <w:rPr>
      <w:rFonts w:asciiTheme="majorHAnsi" w:hAnsiTheme="majorHAnsi"/>
      <w:sz w:val="18"/>
      <w:szCs w:val="22"/>
    </w:rPr>
  </w:style>
  <w:style w:type="paragraph" w:styleId="Footer">
    <w:name w:val="footer"/>
    <w:basedOn w:val="Normal"/>
    <w:link w:val="FooterChar"/>
    <w:uiPriority w:val="29"/>
    <w:rsid w:val="0075790A"/>
    <w:pPr>
      <w:tabs>
        <w:tab w:val="center" w:pos="4513"/>
        <w:tab w:val="right" w:pos="9026"/>
      </w:tabs>
      <w:spacing w:line="240" w:lineRule="auto"/>
      <w:ind w:right="397"/>
    </w:pPr>
    <w:rPr>
      <w:rFonts w:asciiTheme="majorHAnsi" w:hAnsiTheme="majorHAnsi"/>
      <w:color w:val="78A22F" w:themeColor="accent1"/>
      <w:sz w:val="18"/>
    </w:rPr>
  </w:style>
  <w:style w:type="character" w:customStyle="1" w:styleId="FooterChar">
    <w:name w:val="Footer Char"/>
    <w:basedOn w:val="DefaultParagraphFont"/>
    <w:link w:val="Footer"/>
    <w:uiPriority w:val="29"/>
    <w:rsid w:val="0075790A"/>
    <w:rPr>
      <w:rFonts w:asciiTheme="majorHAnsi" w:hAnsiTheme="majorHAnsi"/>
      <w:color w:val="78A22F" w:themeColor="accent1"/>
      <w:sz w:val="18"/>
      <w:szCs w:val="22"/>
    </w:rPr>
  </w:style>
  <w:style w:type="paragraph" w:customStyle="1" w:styleId="FooterHeading">
    <w:name w:val="Footer Heading"/>
    <w:basedOn w:val="Normal"/>
    <w:uiPriority w:val="29"/>
    <w:rsid w:val="0075790A"/>
    <w:pPr>
      <w:spacing w:line="220" w:lineRule="atLeast"/>
    </w:pPr>
    <w:rPr>
      <w:rFonts w:asciiTheme="majorHAnsi" w:eastAsiaTheme="minorEastAsia" w:hAnsiTheme="majorHAnsi" w:cstheme="minorBidi"/>
      <w:b/>
      <w:color w:val="78A22F" w:themeColor="accent1"/>
      <w:sz w:val="18"/>
    </w:rPr>
  </w:style>
  <w:style w:type="paragraph" w:customStyle="1" w:styleId="FooterOffices">
    <w:name w:val="Footer Offices"/>
    <w:basedOn w:val="Normal"/>
    <w:uiPriority w:val="29"/>
    <w:rsid w:val="0075790A"/>
    <w:pPr>
      <w:spacing w:line="220" w:lineRule="atLeast"/>
    </w:pPr>
    <w:rPr>
      <w:rFonts w:eastAsiaTheme="minorEastAsia" w:cstheme="minorBidi"/>
      <w:color w:val="000000" w:themeColor="text1"/>
      <w:sz w:val="18"/>
    </w:rPr>
  </w:style>
  <w:style w:type="paragraph" w:customStyle="1" w:styleId="FooterRegistration">
    <w:name w:val="Footer Registration"/>
    <w:basedOn w:val="FooterOffices"/>
    <w:uiPriority w:val="29"/>
    <w:rsid w:val="0075790A"/>
    <w:rPr>
      <w:sz w:val="14"/>
    </w:rPr>
  </w:style>
  <w:style w:type="paragraph" w:styleId="Title">
    <w:name w:val="Title"/>
    <w:next w:val="Subtitle"/>
    <w:link w:val="TitleChar"/>
    <w:uiPriority w:val="8"/>
    <w:qFormat/>
    <w:rsid w:val="0075790A"/>
    <w:pPr>
      <w:pBdr>
        <w:top w:val="single" w:sz="8" w:space="5" w:color="78A22F" w:themeColor="accent1"/>
      </w:pBdr>
      <w:spacing w:line="320" w:lineRule="atLeast"/>
    </w:pPr>
    <w:rPr>
      <w:rFonts w:asciiTheme="majorHAnsi" w:eastAsiaTheme="majorEastAsia" w:hAnsiTheme="majorHAnsi" w:cstheme="majorBidi"/>
      <w:b/>
      <w:color w:val="78A22F" w:themeColor="accent1"/>
      <w:sz w:val="32"/>
      <w:szCs w:val="32"/>
    </w:rPr>
  </w:style>
  <w:style w:type="character" w:customStyle="1" w:styleId="TitleChar">
    <w:name w:val="Title Char"/>
    <w:basedOn w:val="DefaultParagraphFont"/>
    <w:link w:val="Title"/>
    <w:uiPriority w:val="8"/>
    <w:rsid w:val="0075790A"/>
    <w:rPr>
      <w:rFonts w:asciiTheme="majorHAnsi" w:eastAsiaTheme="majorEastAsia" w:hAnsiTheme="majorHAnsi" w:cstheme="majorBidi"/>
      <w:b/>
      <w:color w:val="78A22F" w:themeColor="accent1"/>
      <w:sz w:val="32"/>
      <w:szCs w:val="32"/>
    </w:rPr>
  </w:style>
  <w:style w:type="character" w:styleId="Hyperlink">
    <w:name w:val="Hyperlink"/>
    <w:uiPriority w:val="99"/>
    <w:unhideWhenUsed/>
    <w:rsid w:val="0075790A"/>
    <w:rPr>
      <w:color w:val="78A22F" w:themeColor="accent1"/>
      <w:u w:val="none"/>
    </w:rPr>
  </w:style>
  <w:style w:type="character" w:styleId="FollowedHyperlink">
    <w:name w:val="FollowedHyperlink"/>
    <w:basedOn w:val="DefaultParagraphFont"/>
    <w:uiPriority w:val="99"/>
    <w:semiHidden/>
    <w:unhideWhenUsed/>
    <w:rsid w:val="0075790A"/>
    <w:rPr>
      <w:color w:val="800080" w:themeColor="followedHyperlink"/>
      <w:u w:val="single"/>
    </w:rPr>
  </w:style>
  <w:style w:type="character" w:customStyle="1" w:styleId="Heading1Char">
    <w:name w:val="Heading 1 Char"/>
    <w:basedOn w:val="DefaultParagraphFont"/>
    <w:link w:val="Heading1"/>
    <w:uiPriority w:val="2"/>
    <w:rsid w:val="0075790A"/>
    <w:rPr>
      <w:b/>
      <w:sz w:val="22"/>
      <w:szCs w:val="22"/>
    </w:rPr>
  </w:style>
  <w:style w:type="character" w:customStyle="1" w:styleId="Heading2Char">
    <w:name w:val="Heading 2 Char"/>
    <w:basedOn w:val="DefaultParagraphFont"/>
    <w:link w:val="Heading2"/>
    <w:uiPriority w:val="2"/>
    <w:rsid w:val="0075790A"/>
    <w:rPr>
      <w:b/>
      <w:sz w:val="22"/>
      <w:szCs w:val="22"/>
    </w:rPr>
  </w:style>
  <w:style w:type="character" w:customStyle="1" w:styleId="Heading3Char">
    <w:name w:val="Heading 3 Char"/>
    <w:basedOn w:val="DefaultParagraphFont"/>
    <w:link w:val="Heading3"/>
    <w:uiPriority w:val="2"/>
    <w:rsid w:val="0075790A"/>
    <w:rPr>
      <w:rFonts w:eastAsiaTheme="majorEastAsia" w:cstheme="majorBidi"/>
      <w:color w:val="78A22F" w:themeColor="accent1"/>
      <w:sz w:val="22"/>
      <w:szCs w:val="24"/>
    </w:rPr>
  </w:style>
  <w:style w:type="character" w:customStyle="1" w:styleId="Heading4Char">
    <w:name w:val="Heading 4 Char"/>
    <w:basedOn w:val="DefaultParagraphFont"/>
    <w:link w:val="Heading4"/>
    <w:uiPriority w:val="99"/>
    <w:rsid w:val="0075790A"/>
    <w:rPr>
      <w:rFonts w:eastAsiaTheme="majorEastAsia" w:cstheme="majorBidi"/>
      <w:b/>
      <w:iCs/>
      <w:color w:val="808285" w:themeColor="accent5"/>
      <w:sz w:val="22"/>
      <w:szCs w:val="22"/>
    </w:rPr>
  </w:style>
  <w:style w:type="paragraph" w:styleId="Subtitle">
    <w:name w:val="Subtitle"/>
    <w:next w:val="Date"/>
    <w:link w:val="SubtitleChar"/>
    <w:uiPriority w:val="9"/>
    <w:qFormat/>
    <w:rsid w:val="0075790A"/>
    <w:pPr>
      <w:spacing w:line="320" w:lineRule="atLeast"/>
    </w:pPr>
    <w:rPr>
      <w:rFonts w:eastAsiaTheme="majorEastAsia" w:cstheme="majorBidi"/>
      <w:b/>
      <w:sz w:val="28"/>
      <w:szCs w:val="26"/>
    </w:rPr>
  </w:style>
  <w:style w:type="character" w:customStyle="1" w:styleId="SubtitleChar">
    <w:name w:val="Subtitle Char"/>
    <w:basedOn w:val="DefaultParagraphFont"/>
    <w:link w:val="Subtitle"/>
    <w:uiPriority w:val="9"/>
    <w:rsid w:val="0075790A"/>
    <w:rPr>
      <w:rFonts w:eastAsiaTheme="majorEastAsia" w:cstheme="majorBidi"/>
      <w:b/>
      <w:sz w:val="28"/>
      <w:szCs w:val="26"/>
    </w:rPr>
  </w:style>
  <w:style w:type="character" w:customStyle="1" w:styleId="Heading5Char">
    <w:name w:val="Heading 5 Char"/>
    <w:basedOn w:val="DefaultParagraphFont"/>
    <w:link w:val="Heading5"/>
    <w:uiPriority w:val="99"/>
    <w:rsid w:val="0075790A"/>
    <w:rPr>
      <w:rFonts w:eastAsiaTheme="majorEastAsia" w:cstheme="majorBidi"/>
      <w:sz w:val="18"/>
      <w:szCs w:val="22"/>
    </w:rPr>
  </w:style>
  <w:style w:type="paragraph" w:styleId="BalloonText">
    <w:name w:val="Balloon Text"/>
    <w:basedOn w:val="Normal"/>
    <w:link w:val="BalloonTextChar"/>
    <w:uiPriority w:val="99"/>
    <w:semiHidden/>
    <w:unhideWhenUsed/>
    <w:rsid w:val="0075790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90A"/>
    <w:rPr>
      <w:rFonts w:ascii="Segoe UI" w:hAnsi="Segoe UI" w:cs="Segoe UI"/>
      <w:sz w:val="18"/>
      <w:szCs w:val="18"/>
    </w:rPr>
  </w:style>
  <w:style w:type="paragraph" w:customStyle="1" w:styleId="Subject">
    <w:name w:val="Subject"/>
    <w:basedOn w:val="BodyText"/>
    <w:next w:val="BodyTextIndented2"/>
    <w:uiPriority w:val="13"/>
    <w:qFormat/>
    <w:rsid w:val="0075790A"/>
    <w:pPr>
      <w:keepNext/>
      <w:spacing w:before="60" w:after="60"/>
      <w:jc w:val="left"/>
    </w:pPr>
    <w:rPr>
      <w:rFonts w:asciiTheme="majorHAnsi" w:hAnsiTheme="majorHAnsi"/>
      <w:b/>
      <w:color w:val="78A22F" w:themeColor="accent1"/>
    </w:rPr>
  </w:style>
  <w:style w:type="paragraph" w:styleId="NoSpacing">
    <w:name w:val="No Spacing"/>
    <w:uiPriority w:val="99"/>
    <w:semiHidden/>
    <w:qFormat/>
    <w:rsid w:val="0075790A"/>
    <w:pPr>
      <w:jc w:val="both"/>
    </w:pPr>
    <w:rPr>
      <w:sz w:val="22"/>
      <w:szCs w:val="22"/>
    </w:rPr>
  </w:style>
  <w:style w:type="paragraph" w:customStyle="1" w:styleId="Subject2">
    <w:name w:val="Subject2"/>
    <w:basedOn w:val="BodyText"/>
    <w:next w:val="BodyTextIndented2"/>
    <w:uiPriority w:val="13"/>
    <w:qFormat/>
    <w:rsid w:val="0075790A"/>
    <w:pPr>
      <w:keepNext/>
      <w:spacing w:before="60" w:after="60"/>
      <w:jc w:val="left"/>
    </w:pPr>
    <w:rPr>
      <w:rFonts w:asciiTheme="majorHAnsi" w:hAnsiTheme="majorHAnsi"/>
      <w:b/>
      <w:color w:val="58595B" w:themeColor="accent6"/>
    </w:rPr>
  </w:style>
  <w:style w:type="numbering" w:customStyle="1" w:styleId="AFMENumbering">
    <w:name w:val="AFME Numbering"/>
    <w:uiPriority w:val="99"/>
    <w:rsid w:val="0075790A"/>
    <w:pPr>
      <w:numPr>
        <w:numId w:val="1"/>
      </w:numPr>
    </w:pPr>
  </w:style>
  <w:style w:type="numbering" w:customStyle="1" w:styleId="AFMEBullets">
    <w:name w:val="AFME Bullets"/>
    <w:uiPriority w:val="99"/>
    <w:rsid w:val="0075790A"/>
    <w:pPr>
      <w:numPr>
        <w:numId w:val="2"/>
      </w:numPr>
    </w:pPr>
  </w:style>
  <w:style w:type="paragraph" w:styleId="ListParagraph">
    <w:name w:val="List Paragraph"/>
    <w:basedOn w:val="Normal"/>
    <w:uiPriority w:val="1"/>
    <w:qFormat/>
    <w:rsid w:val="0075790A"/>
    <w:pPr>
      <w:ind w:left="720"/>
      <w:contextualSpacing/>
    </w:pPr>
  </w:style>
  <w:style w:type="paragraph" w:customStyle="1" w:styleId="Bullets1">
    <w:name w:val="Bullets 1"/>
    <w:basedOn w:val="Normal"/>
    <w:uiPriority w:val="4"/>
    <w:qFormat/>
    <w:rsid w:val="0075790A"/>
    <w:pPr>
      <w:numPr>
        <w:numId w:val="4"/>
      </w:numPr>
      <w:spacing w:after="120"/>
      <w:contextualSpacing/>
    </w:pPr>
  </w:style>
  <w:style w:type="paragraph" w:customStyle="1" w:styleId="Bullets2">
    <w:name w:val="Bullets 2"/>
    <w:basedOn w:val="Bullets1"/>
    <w:uiPriority w:val="4"/>
    <w:qFormat/>
    <w:rsid w:val="0075790A"/>
    <w:pPr>
      <w:numPr>
        <w:ilvl w:val="1"/>
      </w:numPr>
    </w:pPr>
  </w:style>
  <w:style w:type="paragraph" w:customStyle="1" w:styleId="Bullets3">
    <w:name w:val="Bullets 3"/>
    <w:basedOn w:val="Bullets2"/>
    <w:uiPriority w:val="4"/>
    <w:unhideWhenUsed/>
    <w:rsid w:val="0075790A"/>
    <w:pPr>
      <w:numPr>
        <w:ilvl w:val="2"/>
      </w:numPr>
    </w:pPr>
  </w:style>
  <w:style w:type="paragraph" w:styleId="BodyText">
    <w:name w:val="Body Text"/>
    <w:basedOn w:val="Normal"/>
    <w:link w:val="BodyTextChar"/>
    <w:uiPriority w:val="1"/>
    <w:qFormat/>
    <w:rsid w:val="0075790A"/>
    <w:pPr>
      <w:spacing w:after="120"/>
      <w:jc w:val="both"/>
    </w:pPr>
  </w:style>
  <w:style w:type="character" w:customStyle="1" w:styleId="BodyTextChar">
    <w:name w:val="Body Text Char"/>
    <w:basedOn w:val="DefaultParagraphFont"/>
    <w:link w:val="BodyText"/>
    <w:rsid w:val="0075790A"/>
    <w:rPr>
      <w:sz w:val="22"/>
      <w:szCs w:val="22"/>
    </w:rPr>
  </w:style>
  <w:style w:type="paragraph" w:styleId="FootnoteText">
    <w:name w:val="footnote text"/>
    <w:basedOn w:val="Normal"/>
    <w:link w:val="FootnoteTextChar"/>
    <w:uiPriority w:val="99"/>
    <w:rsid w:val="0075790A"/>
    <w:pPr>
      <w:spacing w:line="240" w:lineRule="auto"/>
    </w:pPr>
    <w:rPr>
      <w:rFonts w:asciiTheme="majorHAnsi" w:hAnsiTheme="majorHAnsi"/>
      <w:sz w:val="14"/>
    </w:rPr>
  </w:style>
  <w:style w:type="character" w:customStyle="1" w:styleId="FootnoteTextChar">
    <w:name w:val="Footnote Text Char"/>
    <w:basedOn w:val="DefaultParagraphFont"/>
    <w:link w:val="FootnoteText"/>
    <w:uiPriority w:val="99"/>
    <w:rsid w:val="0075790A"/>
    <w:rPr>
      <w:rFonts w:asciiTheme="majorHAnsi" w:hAnsiTheme="majorHAnsi"/>
      <w:sz w:val="14"/>
      <w:szCs w:val="22"/>
    </w:rPr>
  </w:style>
  <w:style w:type="character" w:styleId="FootnoteReference">
    <w:name w:val="footnote reference"/>
    <w:basedOn w:val="DefaultParagraphFont"/>
    <w:uiPriority w:val="99"/>
    <w:semiHidden/>
    <w:unhideWhenUsed/>
    <w:rsid w:val="0075790A"/>
    <w:rPr>
      <w:vertAlign w:val="superscript"/>
    </w:rPr>
  </w:style>
  <w:style w:type="paragraph" w:customStyle="1" w:styleId="GreenLine">
    <w:name w:val="Green Line"/>
    <w:basedOn w:val="Normal"/>
    <w:next w:val="BodyText"/>
    <w:uiPriority w:val="23"/>
    <w:qFormat/>
    <w:rsid w:val="0075790A"/>
    <w:pPr>
      <w:pBdr>
        <w:bottom w:val="single" w:sz="8" w:space="1" w:color="78A22F" w:themeColor="accent1"/>
      </w:pBdr>
      <w:spacing w:after="240"/>
    </w:pPr>
    <w:rPr>
      <w:rFonts w:asciiTheme="majorHAnsi" w:hAnsiTheme="majorHAnsi"/>
      <w:color w:val="78A22F" w:themeColor="accent1"/>
    </w:rPr>
  </w:style>
  <w:style w:type="paragraph" w:customStyle="1" w:styleId="BodyTextIndented2">
    <w:name w:val="Body Text Indented 2"/>
    <w:basedOn w:val="BodyText"/>
    <w:uiPriority w:val="1"/>
    <w:rsid w:val="0075790A"/>
    <w:pPr>
      <w:ind w:left="284"/>
    </w:pPr>
  </w:style>
  <w:style w:type="table" w:styleId="TableGrid">
    <w:name w:val="Table Grid"/>
    <w:basedOn w:val="TableNormal"/>
    <w:uiPriority w:val="59"/>
    <w:rsid w:val="007579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ckCoverOffices">
    <w:name w:val="Back Cover Offices"/>
    <w:basedOn w:val="Normal"/>
    <w:uiPriority w:val="29"/>
    <w:rsid w:val="0075790A"/>
    <w:rPr>
      <w:rFonts w:asciiTheme="majorHAnsi" w:hAnsiTheme="majorHAnsi" w:cstheme="majorHAnsi"/>
      <w:b/>
      <w:color w:val="78A22F" w:themeColor="accent1"/>
    </w:rPr>
  </w:style>
  <w:style w:type="paragraph" w:customStyle="1" w:styleId="BackCoverNames">
    <w:name w:val="Back Cover Names"/>
    <w:basedOn w:val="Normal"/>
    <w:link w:val="BackCoverNamesChar"/>
    <w:uiPriority w:val="29"/>
    <w:rsid w:val="0075790A"/>
    <w:rPr>
      <w:b/>
      <w:color w:val="58595B" w:themeColor="text2"/>
    </w:rPr>
  </w:style>
  <w:style w:type="paragraph" w:customStyle="1" w:styleId="BackCoverURL">
    <w:name w:val="Back Cover URL"/>
    <w:basedOn w:val="BackCoverOffices"/>
    <w:uiPriority w:val="29"/>
    <w:rsid w:val="0075790A"/>
    <w:rPr>
      <w:b w:val="0"/>
    </w:rPr>
  </w:style>
  <w:style w:type="character" w:customStyle="1" w:styleId="BackCoverNamesChar">
    <w:name w:val="Back Cover Names Char"/>
    <w:basedOn w:val="DefaultParagraphFont"/>
    <w:link w:val="BackCoverNames"/>
    <w:uiPriority w:val="29"/>
    <w:rsid w:val="0075790A"/>
    <w:rPr>
      <w:b/>
      <w:color w:val="58595B" w:themeColor="text2"/>
      <w:sz w:val="22"/>
      <w:szCs w:val="22"/>
    </w:rPr>
  </w:style>
  <w:style w:type="paragraph" w:styleId="TOC1">
    <w:name w:val="toc 1"/>
    <w:basedOn w:val="Normal"/>
    <w:next w:val="Normal"/>
    <w:autoRedefine/>
    <w:uiPriority w:val="39"/>
    <w:rsid w:val="0075790A"/>
    <w:pPr>
      <w:tabs>
        <w:tab w:val="right" w:leader="dot" w:pos="10194"/>
      </w:tabs>
      <w:spacing w:before="160" w:after="60" w:line="240" w:lineRule="auto"/>
      <w:ind w:right="284"/>
    </w:pPr>
    <w:rPr>
      <w:rFonts w:asciiTheme="majorHAnsi" w:hAnsiTheme="majorHAnsi"/>
      <w:b/>
      <w:color w:val="78A22F" w:themeColor="accent1"/>
      <w:sz w:val="18"/>
    </w:rPr>
  </w:style>
  <w:style w:type="paragraph" w:styleId="TOC2">
    <w:name w:val="toc 2"/>
    <w:basedOn w:val="Normal"/>
    <w:next w:val="Normal"/>
    <w:autoRedefine/>
    <w:uiPriority w:val="39"/>
    <w:rsid w:val="0075790A"/>
    <w:pPr>
      <w:spacing w:before="60" w:after="60" w:line="240" w:lineRule="auto"/>
      <w:ind w:left="454" w:right="284" w:hanging="284"/>
    </w:pPr>
    <w:rPr>
      <w:rFonts w:asciiTheme="majorHAnsi" w:hAnsiTheme="majorHAnsi"/>
      <w:color w:val="78A22F" w:themeColor="accent1"/>
      <w:sz w:val="16"/>
    </w:rPr>
  </w:style>
  <w:style w:type="paragraph" w:styleId="TOC3">
    <w:name w:val="toc 3"/>
    <w:basedOn w:val="Normal"/>
    <w:next w:val="Normal"/>
    <w:autoRedefine/>
    <w:uiPriority w:val="39"/>
    <w:rsid w:val="0075790A"/>
    <w:pPr>
      <w:tabs>
        <w:tab w:val="left" w:pos="880"/>
        <w:tab w:val="right" w:leader="dot" w:pos="10194"/>
      </w:tabs>
      <w:spacing w:line="240" w:lineRule="auto"/>
      <w:ind w:left="737" w:right="284" w:hanging="397"/>
    </w:pPr>
    <w:rPr>
      <w:sz w:val="16"/>
    </w:rPr>
  </w:style>
  <w:style w:type="paragraph" w:styleId="Quote">
    <w:name w:val="Quote"/>
    <w:basedOn w:val="BodyText"/>
    <w:next w:val="Normal"/>
    <w:link w:val="QuoteChar"/>
    <w:uiPriority w:val="14"/>
    <w:qFormat/>
    <w:rsid w:val="0075790A"/>
    <w:pPr>
      <w:pBdr>
        <w:top w:val="single" w:sz="8" w:space="1" w:color="78A22F" w:themeColor="accent1"/>
      </w:pBdr>
    </w:pPr>
    <w:rPr>
      <w:i/>
      <w:sz w:val="32"/>
      <w:szCs w:val="32"/>
    </w:rPr>
  </w:style>
  <w:style w:type="character" w:customStyle="1" w:styleId="QuoteChar">
    <w:name w:val="Quote Char"/>
    <w:basedOn w:val="DefaultParagraphFont"/>
    <w:link w:val="Quote"/>
    <w:uiPriority w:val="14"/>
    <w:rsid w:val="0075790A"/>
    <w:rPr>
      <w:i/>
      <w:sz w:val="32"/>
      <w:szCs w:val="32"/>
    </w:rPr>
  </w:style>
  <w:style w:type="paragraph" w:styleId="TOCHeading">
    <w:name w:val="TOC Heading"/>
    <w:basedOn w:val="Normal"/>
    <w:next w:val="Normal"/>
    <w:uiPriority w:val="24"/>
    <w:rsid w:val="0075790A"/>
    <w:pPr>
      <w:pBdr>
        <w:bottom w:val="single" w:sz="8" w:space="1" w:color="78A22F" w:themeColor="accent1"/>
      </w:pBdr>
      <w:spacing w:after="240" w:line="360" w:lineRule="atLeast"/>
    </w:pPr>
    <w:rPr>
      <w:rFonts w:asciiTheme="majorHAnsi" w:hAnsiTheme="majorHAnsi"/>
      <w:color w:val="78A22F" w:themeColor="accent1"/>
      <w:sz w:val="32"/>
    </w:rPr>
  </w:style>
  <w:style w:type="paragraph" w:customStyle="1" w:styleId="Source">
    <w:name w:val="Source"/>
    <w:basedOn w:val="BodyText"/>
    <w:next w:val="BodyText"/>
    <w:uiPriority w:val="15"/>
    <w:qFormat/>
    <w:rsid w:val="0075790A"/>
    <w:pPr>
      <w:numPr>
        <w:numId w:val="3"/>
      </w:numPr>
      <w:jc w:val="right"/>
    </w:pPr>
    <w:rPr>
      <w:rFonts w:asciiTheme="majorHAnsi" w:hAnsiTheme="majorHAnsi"/>
      <w:i/>
      <w:color w:val="58595B" w:themeColor="text2"/>
      <w:sz w:val="16"/>
    </w:rPr>
  </w:style>
  <w:style w:type="numbering" w:customStyle="1" w:styleId="Sources">
    <w:name w:val="Sources"/>
    <w:uiPriority w:val="99"/>
    <w:rsid w:val="0075790A"/>
    <w:pPr>
      <w:numPr>
        <w:numId w:val="3"/>
      </w:numPr>
    </w:pPr>
  </w:style>
  <w:style w:type="paragraph" w:customStyle="1" w:styleId="Charts">
    <w:name w:val="Charts"/>
    <w:basedOn w:val="Normal"/>
    <w:next w:val="Source"/>
    <w:uiPriority w:val="14"/>
    <w:qFormat/>
    <w:rsid w:val="0075790A"/>
    <w:pPr>
      <w:spacing w:line="240" w:lineRule="auto"/>
    </w:pPr>
    <w:rPr>
      <w:noProof/>
    </w:rPr>
  </w:style>
  <w:style w:type="paragraph" w:customStyle="1" w:styleId="Pictures">
    <w:name w:val="Pictures"/>
    <w:basedOn w:val="BodyText"/>
    <w:next w:val="Source"/>
    <w:uiPriority w:val="14"/>
    <w:rsid w:val="0075790A"/>
  </w:style>
  <w:style w:type="paragraph" w:customStyle="1" w:styleId="Notes">
    <w:name w:val="Notes"/>
    <w:basedOn w:val="Normal"/>
    <w:next w:val="BodyText"/>
    <w:uiPriority w:val="17"/>
    <w:qFormat/>
    <w:rsid w:val="0075790A"/>
    <w:pPr>
      <w:spacing w:after="120"/>
    </w:pPr>
    <w:rPr>
      <w:b/>
      <w:sz w:val="16"/>
    </w:rPr>
  </w:style>
  <w:style w:type="paragraph" w:customStyle="1" w:styleId="SectionHeading">
    <w:name w:val="Section Heading"/>
    <w:basedOn w:val="BodyText"/>
    <w:next w:val="Level1"/>
    <w:uiPriority w:val="11"/>
    <w:qFormat/>
    <w:rsid w:val="0075790A"/>
    <w:pPr>
      <w:numPr>
        <w:numId w:val="5"/>
      </w:numPr>
      <w:pBdr>
        <w:bottom w:val="single" w:sz="8" w:space="1" w:color="78A22F" w:themeColor="accent1"/>
      </w:pBdr>
      <w:spacing w:line="360" w:lineRule="atLeast"/>
      <w:jc w:val="left"/>
    </w:pPr>
    <w:rPr>
      <w:rFonts w:asciiTheme="majorHAnsi" w:hAnsiTheme="majorHAnsi"/>
      <w:color w:val="78A22F" w:themeColor="accent1"/>
      <w:sz w:val="32"/>
    </w:rPr>
  </w:style>
  <w:style w:type="paragraph" w:customStyle="1" w:styleId="BodyTextIndented1">
    <w:name w:val="Body Text Indented 1"/>
    <w:basedOn w:val="BodyText"/>
    <w:uiPriority w:val="1"/>
    <w:qFormat/>
    <w:rsid w:val="0075790A"/>
    <w:pPr>
      <w:ind w:left="567"/>
    </w:pPr>
  </w:style>
  <w:style w:type="paragraph" w:customStyle="1" w:styleId="CoverTitle">
    <w:name w:val="Cover Title"/>
    <w:basedOn w:val="BodyText"/>
    <w:next w:val="CoverSubtitle"/>
    <w:uiPriority w:val="25"/>
    <w:qFormat/>
    <w:rsid w:val="0075790A"/>
    <w:pPr>
      <w:pBdr>
        <w:bottom w:val="single" w:sz="2" w:space="1" w:color="78A22F" w:themeColor="accent1"/>
      </w:pBdr>
      <w:spacing w:after="360" w:line="240" w:lineRule="auto"/>
      <w:jc w:val="left"/>
    </w:pPr>
    <w:rPr>
      <w:rFonts w:asciiTheme="majorHAnsi" w:hAnsiTheme="majorHAnsi"/>
      <w:b/>
      <w:color w:val="78A22F" w:themeColor="accent1"/>
      <w:sz w:val="72"/>
    </w:rPr>
  </w:style>
  <w:style w:type="paragraph" w:customStyle="1" w:styleId="BodyTextHighlight">
    <w:name w:val="Body Text Highlight"/>
    <w:basedOn w:val="BodyText"/>
    <w:next w:val="BodyText"/>
    <w:link w:val="BodyTextHighlightChar"/>
    <w:uiPriority w:val="7"/>
    <w:rsid w:val="0075790A"/>
    <w:rPr>
      <w:rFonts w:asciiTheme="majorHAnsi" w:hAnsiTheme="majorHAnsi" w:cstheme="majorHAnsi"/>
      <w:b/>
      <w:color w:val="58595B" w:themeColor="text2"/>
    </w:rPr>
  </w:style>
  <w:style w:type="paragraph" w:customStyle="1" w:styleId="NormalHighlight">
    <w:name w:val="Normal Highlight"/>
    <w:basedOn w:val="Normal"/>
    <w:next w:val="Normal"/>
    <w:link w:val="NormalHighlightChar"/>
    <w:uiPriority w:val="7"/>
    <w:qFormat/>
    <w:rsid w:val="0075790A"/>
    <w:rPr>
      <w:noProof/>
      <w:color w:val="78A22F" w:themeColor="accent1"/>
    </w:rPr>
  </w:style>
  <w:style w:type="paragraph" w:customStyle="1" w:styleId="Level1">
    <w:name w:val="Level 1"/>
    <w:basedOn w:val="BodyText"/>
    <w:next w:val="BodyTextIndented1"/>
    <w:uiPriority w:val="12"/>
    <w:qFormat/>
    <w:rsid w:val="0075790A"/>
    <w:pPr>
      <w:keepNext/>
      <w:numPr>
        <w:ilvl w:val="1"/>
        <w:numId w:val="5"/>
      </w:numPr>
      <w:pBdr>
        <w:bottom w:val="single" w:sz="2" w:space="1" w:color="78A22F" w:themeColor="accent1"/>
      </w:pBdr>
      <w:spacing w:before="60" w:after="60"/>
    </w:pPr>
    <w:rPr>
      <w:rFonts w:asciiTheme="majorHAnsi" w:hAnsiTheme="majorHAnsi"/>
      <w:b/>
      <w:color w:val="78A22F" w:themeColor="accent1"/>
    </w:rPr>
  </w:style>
  <w:style w:type="paragraph" w:customStyle="1" w:styleId="Level2">
    <w:name w:val="Level 2"/>
    <w:basedOn w:val="BodyText"/>
    <w:next w:val="BodyTextIndented1"/>
    <w:uiPriority w:val="12"/>
    <w:qFormat/>
    <w:rsid w:val="0075790A"/>
    <w:pPr>
      <w:keepNext/>
      <w:numPr>
        <w:ilvl w:val="2"/>
        <w:numId w:val="5"/>
      </w:numPr>
      <w:spacing w:before="60" w:after="60"/>
    </w:pPr>
    <w:rPr>
      <w:rFonts w:asciiTheme="majorHAnsi" w:hAnsiTheme="majorHAnsi"/>
      <w:b/>
      <w:color w:val="58595B" w:themeColor="text2"/>
    </w:rPr>
  </w:style>
  <w:style w:type="paragraph" w:customStyle="1" w:styleId="Level3">
    <w:name w:val="Level 3"/>
    <w:basedOn w:val="BodyText"/>
    <w:next w:val="BodyTextIndented1"/>
    <w:uiPriority w:val="12"/>
    <w:rsid w:val="0075790A"/>
    <w:pPr>
      <w:keepNext/>
      <w:numPr>
        <w:ilvl w:val="3"/>
        <w:numId w:val="5"/>
      </w:numPr>
      <w:spacing w:before="60" w:after="60"/>
    </w:pPr>
    <w:rPr>
      <w:rFonts w:asciiTheme="majorHAnsi" w:hAnsiTheme="majorHAnsi"/>
      <w:color w:val="58595B" w:themeColor="text2"/>
    </w:rPr>
  </w:style>
  <w:style w:type="paragraph" w:customStyle="1" w:styleId="Level4">
    <w:name w:val="Level 4"/>
    <w:basedOn w:val="BodyText"/>
    <w:next w:val="BodyTextIndented1"/>
    <w:uiPriority w:val="12"/>
    <w:rsid w:val="0075790A"/>
    <w:pPr>
      <w:keepNext/>
      <w:numPr>
        <w:ilvl w:val="4"/>
        <w:numId w:val="5"/>
      </w:numPr>
      <w:spacing w:before="60" w:after="60"/>
    </w:pPr>
    <w:rPr>
      <w:rFonts w:asciiTheme="majorHAnsi" w:hAnsiTheme="majorHAnsi"/>
      <w:color w:val="58595B" w:themeColor="text2"/>
      <w:sz w:val="18"/>
    </w:rPr>
  </w:style>
  <w:style w:type="paragraph" w:customStyle="1" w:styleId="Level5">
    <w:name w:val="Level 5"/>
    <w:basedOn w:val="BodyText"/>
    <w:next w:val="BodyTextIndented1"/>
    <w:uiPriority w:val="12"/>
    <w:rsid w:val="0075790A"/>
    <w:pPr>
      <w:keepNext/>
      <w:numPr>
        <w:ilvl w:val="5"/>
        <w:numId w:val="5"/>
      </w:numPr>
      <w:spacing w:before="60" w:after="60"/>
    </w:pPr>
    <w:rPr>
      <w:rFonts w:asciiTheme="majorHAnsi" w:hAnsiTheme="majorHAnsi"/>
      <w:sz w:val="18"/>
    </w:rPr>
  </w:style>
  <w:style w:type="paragraph" w:customStyle="1" w:styleId="CoverSubtitle">
    <w:name w:val="Cover Subtitle"/>
    <w:basedOn w:val="BodyText"/>
    <w:next w:val="CoverDate"/>
    <w:uiPriority w:val="26"/>
    <w:qFormat/>
    <w:rsid w:val="0075790A"/>
    <w:pPr>
      <w:spacing w:after="360"/>
      <w:jc w:val="left"/>
    </w:pPr>
    <w:rPr>
      <w:rFonts w:asciiTheme="majorHAnsi" w:hAnsiTheme="majorHAnsi"/>
      <w:sz w:val="52"/>
    </w:rPr>
  </w:style>
  <w:style w:type="paragraph" w:customStyle="1" w:styleId="CoverFooterHeading">
    <w:name w:val="Cover Footer Heading"/>
    <w:basedOn w:val="BodyText"/>
    <w:uiPriority w:val="29"/>
    <w:rsid w:val="0075790A"/>
    <w:pPr>
      <w:spacing w:after="0" w:line="220" w:lineRule="atLeast"/>
      <w:ind w:left="397"/>
      <w:jc w:val="left"/>
    </w:pPr>
    <w:rPr>
      <w:rFonts w:asciiTheme="majorHAnsi" w:hAnsiTheme="majorHAnsi"/>
      <w:color w:val="78A22F" w:themeColor="accent1"/>
    </w:rPr>
  </w:style>
  <w:style w:type="paragraph" w:customStyle="1" w:styleId="BodyTextBold">
    <w:name w:val="Body Text Bold"/>
    <w:basedOn w:val="BodyText"/>
    <w:next w:val="BodyText"/>
    <w:link w:val="BodyTextBoldChar"/>
    <w:uiPriority w:val="1"/>
    <w:qFormat/>
    <w:rsid w:val="0075790A"/>
    <w:rPr>
      <w:b/>
      <w:noProof/>
    </w:rPr>
  </w:style>
  <w:style w:type="paragraph" w:styleId="Date">
    <w:name w:val="Date"/>
    <w:basedOn w:val="CoverDate"/>
    <w:next w:val="Heading1"/>
    <w:link w:val="DateChar"/>
    <w:uiPriority w:val="10"/>
    <w:qFormat/>
    <w:rsid w:val="0075790A"/>
    <w:pPr>
      <w:pBdr>
        <w:bottom w:val="single" w:sz="8" w:space="5" w:color="78A22F" w:themeColor="accent1"/>
      </w:pBdr>
      <w:spacing w:before="0" w:after="240"/>
    </w:pPr>
    <w:rPr>
      <w:rFonts w:asciiTheme="minorHAnsi" w:hAnsiTheme="minorHAnsi"/>
      <w:sz w:val="22"/>
    </w:rPr>
  </w:style>
  <w:style w:type="character" w:customStyle="1" w:styleId="DateChar">
    <w:name w:val="Date Char"/>
    <w:basedOn w:val="DefaultParagraphFont"/>
    <w:link w:val="Date"/>
    <w:uiPriority w:val="10"/>
    <w:rsid w:val="0075790A"/>
    <w:rPr>
      <w:sz w:val="22"/>
      <w:szCs w:val="22"/>
    </w:rPr>
  </w:style>
  <w:style w:type="paragraph" w:customStyle="1" w:styleId="Subject3">
    <w:name w:val="Subject3"/>
    <w:basedOn w:val="BodyText"/>
    <w:next w:val="BodyTextIndented2"/>
    <w:uiPriority w:val="13"/>
    <w:rsid w:val="0075790A"/>
    <w:pPr>
      <w:keepNext/>
      <w:spacing w:before="60" w:after="60"/>
    </w:pPr>
    <w:rPr>
      <w:rFonts w:asciiTheme="majorHAnsi" w:hAnsiTheme="majorHAnsi"/>
      <w:color w:val="58595B" w:themeColor="text2"/>
    </w:rPr>
  </w:style>
  <w:style w:type="paragraph" w:customStyle="1" w:styleId="Reportheader">
    <w:name w:val="Report header"/>
    <w:basedOn w:val="Header"/>
    <w:uiPriority w:val="27"/>
    <w:rsid w:val="0075790A"/>
    <w:rPr>
      <w:b/>
      <w:color w:val="78A22F" w:themeColor="accent1"/>
      <w:sz w:val="22"/>
    </w:rPr>
  </w:style>
  <w:style w:type="paragraph" w:customStyle="1" w:styleId="CoverDate">
    <w:name w:val="Cover Date"/>
    <w:basedOn w:val="Normal"/>
    <w:next w:val="BodyText"/>
    <w:uiPriority w:val="27"/>
    <w:qFormat/>
    <w:rsid w:val="0075790A"/>
    <w:pPr>
      <w:spacing w:before="120" w:after="120"/>
    </w:pPr>
    <w:rPr>
      <w:rFonts w:asciiTheme="majorHAnsi" w:hAnsiTheme="majorHAnsi"/>
      <w:sz w:val="36"/>
    </w:rPr>
  </w:style>
  <w:style w:type="paragraph" w:customStyle="1" w:styleId="NormalBold">
    <w:name w:val="Normal Bold"/>
    <w:basedOn w:val="Normal"/>
    <w:next w:val="Normal"/>
    <w:uiPriority w:val="5"/>
    <w:qFormat/>
    <w:rsid w:val="0075790A"/>
    <w:rPr>
      <w:b/>
    </w:rPr>
  </w:style>
  <w:style w:type="character" w:customStyle="1" w:styleId="NormalHighlightChar">
    <w:name w:val="Normal Highlight Char"/>
    <w:basedOn w:val="DefaultParagraphFont"/>
    <w:link w:val="NormalHighlight"/>
    <w:uiPriority w:val="7"/>
    <w:rsid w:val="0075790A"/>
    <w:rPr>
      <w:noProof/>
      <w:color w:val="78A22F" w:themeColor="accent1"/>
      <w:sz w:val="22"/>
      <w:szCs w:val="22"/>
    </w:rPr>
  </w:style>
  <w:style w:type="character" w:customStyle="1" w:styleId="BodyTextBoldChar">
    <w:name w:val="Body Text Bold Char"/>
    <w:basedOn w:val="BodyTextChar"/>
    <w:link w:val="BodyTextBold"/>
    <w:uiPriority w:val="1"/>
    <w:rsid w:val="0075790A"/>
    <w:rPr>
      <w:b/>
      <w:noProof/>
      <w:sz w:val="22"/>
      <w:szCs w:val="22"/>
    </w:rPr>
  </w:style>
  <w:style w:type="character" w:customStyle="1" w:styleId="BodyTextHighlightChar">
    <w:name w:val="Body Text Highlight Char"/>
    <w:basedOn w:val="BodyTextChar"/>
    <w:link w:val="BodyTextHighlight"/>
    <w:uiPriority w:val="7"/>
    <w:rsid w:val="0075790A"/>
    <w:rPr>
      <w:rFonts w:asciiTheme="majorHAnsi" w:hAnsiTheme="majorHAnsi" w:cstheme="majorHAnsi"/>
      <w:b/>
      <w:color w:val="58595B" w:themeColor="text2"/>
      <w:sz w:val="22"/>
      <w:szCs w:val="22"/>
    </w:rPr>
  </w:style>
  <w:style w:type="paragraph" w:customStyle="1" w:styleId="AFMEPagenumber">
    <w:name w:val="AFME Page number"/>
    <w:basedOn w:val="Footer"/>
    <w:uiPriority w:val="29"/>
    <w:qFormat/>
    <w:rsid w:val="0075790A"/>
    <w:pPr>
      <w:ind w:right="0"/>
      <w:jc w:val="right"/>
    </w:pPr>
    <w:rPr>
      <w:b/>
    </w:rPr>
  </w:style>
  <w:style w:type="paragraph" w:customStyle="1" w:styleId="AFMEFullName">
    <w:name w:val="AFME Full Name"/>
    <w:basedOn w:val="BodyTextBold"/>
    <w:uiPriority w:val="29"/>
    <w:qFormat/>
    <w:rsid w:val="0075790A"/>
    <w:pPr>
      <w:spacing w:before="400" w:after="0"/>
      <w:jc w:val="right"/>
    </w:pPr>
    <w:rPr>
      <w:sz w:val="18"/>
      <w:szCs w:val="18"/>
    </w:rPr>
  </w:style>
  <w:style w:type="paragraph" w:customStyle="1" w:styleId="AFMEContactEmail">
    <w:name w:val="AFME Contact Email"/>
    <w:basedOn w:val="NormalHighlight"/>
    <w:next w:val="Normal"/>
    <w:uiPriority w:val="28"/>
    <w:qFormat/>
    <w:rsid w:val="0075790A"/>
    <w:pPr>
      <w:spacing w:before="120" w:after="120"/>
    </w:pPr>
  </w:style>
  <w:style w:type="paragraph" w:customStyle="1" w:styleId="FooterLegal-letter">
    <w:name w:val="Footer Legal -  letter"/>
    <w:basedOn w:val="FooterOffices"/>
    <w:uiPriority w:val="29"/>
    <w:rsid w:val="0075790A"/>
    <w:pPr>
      <w:spacing w:line="180" w:lineRule="atLeast"/>
      <w:ind w:left="-794"/>
    </w:pPr>
    <w:rPr>
      <w:sz w:val="14"/>
    </w:rPr>
  </w:style>
  <w:style w:type="paragraph" w:customStyle="1" w:styleId="FooterHeading-letter">
    <w:name w:val="Footer Heading - letter"/>
    <w:basedOn w:val="FooterHeading"/>
    <w:uiPriority w:val="29"/>
    <w:qFormat/>
    <w:rsid w:val="0075790A"/>
    <w:pPr>
      <w:ind w:left="-794"/>
    </w:pPr>
  </w:style>
  <w:style w:type="paragraph" w:customStyle="1" w:styleId="FooterOffices-letter">
    <w:name w:val="Footer Offices - letter"/>
    <w:basedOn w:val="FooterOffices"/>
    <w:uiPriority w:val="29"/>
    <w:qFormat/>
    <w:rsid w:val="0075790A"/>
    <w:pPr>
      <w:ind w:left="-794"/>
    </w:pPr>
  </w:style>
  <w:style w:type="paragraph" w:customStyle="1" w:styleId="Bullets4">
    <w:name w:val="Bullets 4"/>
    <w:basedOn w:val="Bullets3"/>
    <w:uiPriority w:val="4"/>
    <w:unhideWhenUsed/>
    <w:rsid w:val="0075790A"/>
    <w:pPr>
      <w:numPr>
        <w:ilvl w:val="0"/>
        <w:numId w:val="0"/>
      </w:numPr>
      <w:tabs>
        <w:tab w:val="num" w:pos="1134"/>
      </w:tabs>
      <w:ind w:left="1134" w:hanging="283"/>
    </w:pPr>
  </w:style>
  <w:style w:type="paragraph" w:customStyle="1" w:styleId="Bullets5">
    <w:name w:val="Bullets 5"/>
    <w:basedOn w:val="Bullets4"/>
    <w:uiPriority w:val="4"/>
    <w:unhideWhenUsed/>
    <w:rsid w:val="0075790A"/>
  </w:style>
  <w:style w:type="character" w:customStyle="1" w:styleId="Mention1">
    <w:name w:val="Mention1"/>
    <w:basedOn w:val="DefaultParagraphFont"/>
    <w:uiPriority w:val="99"/>
    <w:semiHidden/>
    <w:unhideWhenUsed/>
    <w:rsid w:val="00C8378C"/>
    <w:rPr>
      <w:color w:val="2B579A"/>
      <w:shd w:val="clear" w:color="auto" w:fill="E6E6E6"/>
    </w:rPr>
  </w:style>
  <w:style w:type="character" w:styleId="CommentReference">
    <w:name w:val="annotation reference"/>
    <w:basedOn w:val="DefaultParagraphFont"/>
    <w:uiPriority w:val="99"/>
    <w:semiHidden/>
    <w:unhideWhenUsed/>
    <w:rsid w:val="0053470F"/>
    <w:rPr>
      <w:sz w:val="16"/>
      <w:szCs w:val="16"/>
    </w:rPr>
  </w:style>
  <w:style w:type="paragraph" w:styleId="CommentText">
    <w:name w:val="annotation text"/>
    <w:basedOn w:val="Normal"/>
    <w:link w:val="CommentTextChar"/>
    <w:uiPriority w:val="99"/>
    <w:semiHidden/>
    <w:unhideWhenUsed/>
    <w:rsid w:val="0053470F"/>
    <w:pPr>
      <w:spacing w:line="240" w:lineRule="auto"/>
    </w:pPr>
    <w:rPr>
      <w:sz w:val="20"/>
      <w:szCs w:val="20"/>
    </w:rPr>
  </w:style>
  <w:style w:type="character" w:customStyle="1" w:styleId="CommentTextChar">
    <w:name w:val="Comment Text Char"/>
    <w:basedOn w:val="DefaultParagraphFont"/>
    <w:link w:val="CommentText"/>
    <w:uiPriority w:val="99"/>
    <w:semiHidden/>
    <w:rsid w:val="0053470F"/>
  </w:style>
  <w:style w:type="paragraph" w:styleId="CommentSubject">
    <w:name w:val="annotation subject"/>
    <w:basedOn w:val="CommentText"/>
    <w:next w:val="CommentText"/>
    <w:link w:val="CommentSubjectChar"/>
    <w:uiPriority w:val="99"/>
    <w:semiHidden/>
    <w:unhideWhenUsed/>
    <w:rsid w:val="0053470F"/>
    <w:rPr>
      <w:b/>
      <w:bCs/>
    </w:rPr>
  </w:style>
  <w:style w:type="character" w:customStyle="1" w:styleId="CommentSubjectChar">
    <w:name w:val="Comment Subject Char"/>
    <w:basedOn w:val="CommentTextChar"/>
    <w:link w:val="CommentSubject"/>
    <w:uiPriority w:val="99"/>
    <w:semiHidden/>
    <w:rsid w:val="0053470F"/>
    <w:rPr>
      <w:b/>
      <w:bCs/>
    </w:rPr>
  </w:style>
  <w:style w:type="character" w:customStyle="1" w:styleId="UnresolvedMention1">
    <w:name w:val="Unresolved Mention1"/>
    <w:basedOn w:val="DefaultParagraphFont"/>
    <w:uiPriority w:val="99"/>
    <w:semiHidden/>
    <w:unhideWhenUsed/>
    <w:rsid w:val="003B3C39"/>
    <w:rPr>
      <w:color w:val="808080"/>
      <w:shd w:val="clear" w:color="auto" w:fill="E6E6E6"/>
    </w:rPr>
  </w:style>
  <w:style w:type="character" w:customStyle="1" w:styleId="UnresolvedMention2">
    <w:name w:val="Unresolved Mention2"/>
    <w:basedOn w:val="DefaultParagraphFont"/>
    <w:uiPriority w:val="99"/>
    <w:semiHidden/>
    <w:unhideWhenUsed/>
    <w:rsid w:val="007F441B"/>
    <w:rPr>
      <w:color w:val="808080"/>
      <w:shd w:val="clear" w:color="auto" w:fill="E6E6E6"/>
    </w:rPr>
  </w:style>
  <w:style w:type="paragraph" w:styleId="Revision">
    <w:name w:val="Revision"/>
    <w:hidden/>
    <w:uiPriority w:val="99"/>
    <w:semiHidden/>
    <w:rsid w:val="004058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975087">
      <w:bodyDiv w:val="1"/>
      <w:marLeft w:val="0"/>
      <w:marRight w:val="0"/>
      <w:marTop w:val="0"/>
      <w:marBottom w:val="0"/>
      <w:divBdr>
        <w:top w:val="none" w:sz="0" w:space="0" w:color="auto"/>
        <w:left w:val="none" w:sz="0" w:space="0" w:color="auto"/>
        <w:bottom w:val="none" w:sz="0" w:space="0" w:color="auto"/>
        <w:right w:val="none" w:sz="0" w:space="0" w:color="auto"/>
      </w:divBdr>
    </w:div>
    <w:div w:id="57289355">
      <w:bodyDiv w:val="1"/>
      <w:marLeft w:val="0"/>
      <w:marRight w:val="0"/>
      <w:marTop w:val="0"/>
      <w:marBottom w:val="0"/>
      <w:divBdr>
        <w:top w:val="none" w:sz="0" w:space="0" w:color="auto"/>
        <w:left w:val="none" w:sz="0" w:space="0" w:color="auto"/>
        <w:bottom w:val="none" w:sz="0" w:space="0" w:color="auto"/>
        <w:right w:val="none" w:sz="0" w:space="0" w:color="auto"/>
      </w:divBdr>
    </w:div>
    <w:div w:id="177425721">
      <w:bodyDiv w:val="1"/>
      <w:marLeft w:val="0"/>
      <w:marRight w:val="0"/>
      <w:marTop w:val="0"/>
      <w:marBottom w:val="0"/>
      <w:divBdr>
        <w:top w:val="none" w:sz="0" w:space="0" w:color="auto"/>
        <w:left w:val="none" w:sz="0" w:space="0" w:color="auto"/>
        <w:bottom w:val="none" w:sz="0" w:space="0" w:color="auto"/>
        <w:right w:val="none" w:sz="0" w:space="0" w:color="auto"/>
      </w:divBdr>
    </w:div>
    <w:div w:id="182138873">
      <w:bodyDiv w:val="1"/>
      <w:marLeft w:val="0"/>
      <w:marRight w:val="0"/>
      <w:marTop w:val="0"/>
      <w:marBottom w:val="0"/>
      <w:divBdr>
        <w:top w:val="none" w:sz="0" w:space="0" w:color="auto"/>
        <w:left w:val="none" w:sz="0" w:space="0" w:color="auto"/>
        <w:bottom w:val="none" w:sz="0" w:space="0" w:color="auto"/>
        <w:right w:val="none" w:sz="0" w:space="0" w:color="auto"/>
      </w:divBdr>
    </w:div>
    <w:div w:id="233708062">
      <w:bodyDiv w:val="1"/>
      <w:marLeft w:val="0"/>
      <w:marRight w:val="0"/>
      <w:marTop w:val="0"/>
      <w:marBottom w:val="0"/>
      <w:divBdr>
        <w:top w:val="none" w:sz="0" w:space="0" w:color="auto"/>
        <w:left w:val="none" w:sz="0" w:space="0" w:color="auto"/>
        <w:bottom w:val="none" w:sz="0" w:space="0" w:color="auto"/>
        <w:right w:val="none" w:sz="0" w:space="0" w:color="auto"/>
      </w:divBdr>
    </w:div>
    <w:div w:id="237178331">
      <w:bodyDiv w:val="1"/>
      <w:marLeft w:val="0"/>
      <w:marRight w:val="0"/>
      <w:marTop w:val="0"/>
      <w:marBottom w:val="0"/>
      <w:divBdr>
        <w:top w:val="none" w:sz="0" w:space="0" w:color="auto"/>
        <w:left w:val="none" w:sz="0" w:space="0" w:color="auto"/>
        <w:bottom w:val="none" w:sz="0" w:space="0" w:color="auto"/>
        <w:right w:val="none" w:sz="0" w:space="0" w:color="auto"/>
      </w:divBdr>
    </w:div>
    <w:div w:id="263467525">
      <w:bodyDiv w:val="1"/>
      <w:marLeft w:val="0"/>
      <w:marRight w:val="0"/>
      <w:marTop w:val="0"/>
      <w:marBottom w:val="0"/>
      <w:divBdr>
        <w:top w:val="none" w:sz="0" w:space="0" w:color="auto"/>
        <w:left w:val="none" w:sz="0" w:space="0" w:color="auto"/>
        <w:bottom w:val="none" w:sz="0" w:space="0" w:color="auto"/>
        <w:right w:val="none" w:sz="0" w:space="0" w:color="auto"/>
      </w:divBdr>
    </w:div>
    <w:div w:id="272248508">
      <w:bodyDiv w:val="1"/>
      <w:marLeft w:val="0"/>
      <w:marRight w:val="0"/>
      <w:marTop w:val="0"/>
      <w:marBottom w:val="0"/>
      <w:divBdr>
        <w:top w:val="none" w:sz="0" w:space="0" w:color="auto"/>
        <w:left w:val="none" w:sz="0" w:space="0" w:color="auto"/>
        <w:bottom w:val="none" w:sz="0" w:space="0" w:color="auto"/>
        <w:right w:val="none" w:sz="0" w:space="0" w:color="auto"/>
      </w:divBdr>
    </w:div>
    <w:div w:id="275916395">
      <w:bodyDiv w:val="1"/>
      <w:marLeft w:val="0"/>
      <w:marRight w:val="0"/>
      <w:marTop w:val="0"/>
      <w:marBottom w:val="0"/>
      <w:divBdr>
        <w:top w:val="none" w:sz="0" w:space="0" w:color="auto"/>
        <w:left w:val="none" w:sz="0" w:space="0" w:color="auto"/>
        <w:bottom w:val="none" w:sz="0" w:space="0" w:color="auto"/>
        <w:right w:val="none" w:sz="0" w:space="0" w:color="auto"/>
      </w:divBdr>
    </w:div>
    <w:div w:id="339739836">
      <w:bodyDiv w:val="1"/>
      <w:marLeft w:val="0"/>
      <w:marRight w:val="0"/>
      <w:marTop w:val="0"/>
      <w:marBottom w:val="0"/>
      <w:divBdr>
        <w:top w:val="none" w:sz="0" w:space="0" w:color="auto"/>
        <w:left w:val="none" w:sz="0" w:space="0" w:color="auto"/>
        <w:bottom w:val="none" w:sz="0" w:space="0" w:color="auto"/>
        <w:right w:val="none" w:sz="0" w:space="0" w:color="auto"/>
      </w:divBdr>
    </w:div>
    <w:div w:id="350839252">
      <w:bodyDiv w:val="1"/>
      <w:marLeft w:val="0"/>
      <w:marRight w:val="0"/>
      <w:marTop w:val="0"/>
      <w:marBottom w:val="0"/>
      <w:divBdr>
        <w:top w:val="none" w:sz="0" w:space="0" w:color="auto"/>
        <w:left w:val="none" w:sz="0" w:space="0" w:color="auto"/>
        <w:bottom w:val="none" w:sz="0" w:space="0" w:color="auto"/>
        <w:right w:val="none" w:sz="0" w:space="0" w:color="auto"/>
      </w:divBdr>
    </w:div>
    <w:div w:id="395051154">
      <w:bodyDiv w:val="1"/>
      <w:marLeft w:val="0"/>
      <w:marRight w:val="0"/>
      <w:marTop w:val="0"/>
      <w:marBottom w:val="0"/>
      <w:divBdr>
        <w:top w:val="none" w:sz="0" w:space="0" w:color="auto"/>
        <w:left w:val="none" w:sz="0" w:space="0" w:color="auto"/>
        <w:bottom w:val="none" w:sz="0" w:space="0" w:color="auto"/>
        <w:right w:val="none" w:sz="0" w:space="0" w:color="auto"/>
      </w:divBdr>
    </w:div>
    <w:div w:id="460807699">
      <w:bodyDiv w:val="1"/>
      <w:marLeft w:val="0"/>
      <w:marRight w:val="0"/>
      <w:marTop w:val="0"/>
      <w:marBottom w:val="0"/>
      <w:divBdr>
        <w:top w:val="none" w:sz="0" w:space="0" w:color="auto"/>
        <w:left w:val="none" w:sz="0" w:space="0" w:color="auto"/>
        <w:bottom w:val="none" w:sz="0" w:space="0" w:color="auto"/>
        <w:right w:val="none" w:sz="0" w:space="0" w:color="auto"/>
      </w:divBdr>
    </w:div>
    <w:div w:id="676541940">
      <w:bodyDiv w:val="1"/>
      <w:marLeft w:val="0"/>
      <w:marRight w:val="0"/>
      <w:marTop w:val="0"/>
      <w:marBottom w:val="0"/>
      <w:divBdr>
        <w:top w:val="none" w:sz="0" w:space="0" w:color="auto"/>
        <w:left w:val="none" w:sz="0" w:space="0" w:color="auto"/>
        <w:bottom w:val="none" w:sz="0" w:space="0" w:color="auto"/>
        <w:right w:val="none" w:sz="0" w:space="0" w:color="auto"/>
      </w:divBdr>
    </w:div>
    <w:div w:id="705640119">
      <w:bodyDiv w:val="1"/>
      <w:marLeft w:val="0"/>
      <w:marRight w:val="0"/>
      <w:marTop w:val="0"/>
      <w:marBottom w:val="0"/>
      <w:divBdr>
        <w:top w:val="none" w:sz="0" w:space="0" w:color="auto"/>
        <w:left w:val="none" w:sz="0" w:space="0" w:color="auto"/>
        <w:bottom w:val="none" w:sz="0" w:space="0" w:color="auto"/>
        <w:right w:val="none" w:sz="0" w:space="0" w:color="auto"/>
      </w:divBdr>
    </w:div>
    <w:div w:id="711733192">
      <w:bodyDiv w:val="1"/>
      <w:marLeft w:val="0"/>
      <w:marRight w:val="0"/>
      <w:marTop w:val="0"/>
      <w:marBottom w:val="0"/>
      <w:divBdr>
        <w:top w:val="none" w:sz="0" w:space="0" w:color="auto"/>
        <w:left w:val="none" w:sz="0" w:space="0" w:color="auto"/>
        <w:bottom w:val="none" w:sz="0" w:space="0" w:color="auto"/>
        <w:right w:val="none" w:sz="0" w:space="0" w:color="auto"/>
      </w:divBdr>
    </w:div>
    <w:div w:id="840583434">
      <w:bodyDiv w:val="1"/>
      <w:marLeft w:val="0"/>
      <w:marRight w:val="0"/>
      <w:marTop w:val="0"/>
      <w:marBottom w:val="0"/>
      <w:divBdr>
        <w:top w:val="none" w:sz="0" w:space="0" w:color="auto"/>
        <w:left w:val="none" w:sz="0" w:space="0" w:color="auto"/>
        <w:bottom w:val="none" w:sz="0" w:space="0" w:color="auto"/>
        <w:right w:val="none" w:sz="0" w:space="0" w:color="auto"/>
      </w:divBdr>
    </w:div>
    <w:div w:id="845706636">
      <w:bodyDiv w:val="1"/>
      <w:marLeft w:val="0"/>
      <w:marRight w:val="0"/>
      <w:marTop w:val="0"/>
      <w:marBottom w:val="0"/>
      <w:divBdr>
        <w:top w:val="none" w:sz="0" w:space="0" w:color="auto"/>
        <w:left w:val="none" w:sz="0" w:space="0" w:color="auto"/>
        <w:bottom w:val="none" w:sz="0" w:space="0" w:color="auto"/>
        <w:right w:val="none" w:sz="0" w:space="0" w:color="auto"/>
      </w:divBdr>
    </w:div>
    <w:div w:id="851383317">
      <w:bodyDiv w:val="1"/>
      <w:marLeft w:val="0"/>
      <w:marRight w:val="0"/>
      <w:marTop w:val="0"/>
      <w:marBottom w:val="0"/>
      <w:divBdr>
        <w:top w:val="none" w:sz="0" w:space="0" w:color="auto"/>
        <w:left w:val="none" w:sz="0" w:space="0" w:color="auto"/>
        <w:bottom w:val="none" w:sz="0" w:space="0" w:color="auto"/>
        <w:right w:val="none" w:sz="0" w:space="0" w:color="auto"/>
      </w:divBdr>
    </w:div>
    <w:div w:id="970214384">
      <w:bodyDiv w:val="1"/>
      <w:marLeft w:val="0"/>
      <w:marRight w:val="0"/>
      <w:marTop w:val="0"/>
      <w:marBottom w:val="0"/>
      <w:divBdr>
        <w:top w:val="none" w:sz="0" w:space="0" w:color="auto"/>
        <w:left w:val="none" w:sz="0" w:space="0" w:color="auto"/>
        <w:bottom w:val="none" w:sz="0" w:space="0" w:color="auto"/>
        <w:right w:val="none" w:sz="0" w:space="0" w:color="auto"/>
      </w:divBdr>
    </w:div>
    <w:div w:id="1047728415">
      <w:bodyDiv w:val="1"/>
      <w:marLeft w:val="0"/>
      <w:marRight w:val="0"/>
      <w:marTop w:val="0"/>
      <w:marBottom w:val="0"/>
      <w:divBdr>
        <w:top w:val="none" w:sz="0" w:space="0" w:color="auto"/>
        <w:left w:val="none" w:sz="0" w:space="0" w:color="auto"/>
        <w:bottom w:val="none" w:sz="0" w:space="0" w:color="auto"/>
        <w:right w:val="none" w:sz="0" w:space="0" w:color="auto"/>
      </w:divBdr>
    </w:div>
    <w:div w:id="1087191000">
      <w:bodyDiv w:val="1"/>
      <w:marLeft w:val="0"/>
      <w:marRight w:val="0"/>
      <w:marTop w:val="0"/>
      <w:marBottom w:val="0"/>
      <w:divBdr>
        <w:top w:val="none" w:sz="0" w:space="0" w:color="auto"/>
        <w:left w:val="none" w:sz="0" w:space="0" w:color="auto"/>
        <w:bottom w:val="none" w:sz="0" w:space="0" w:color="auto"/>
        <w:right w:val="none" w:sz="0" w:space="0" w:color="auto"/>
      </w:divBdr>
    </w:div>
    <w:div w:id="1089231663">
      <w:bodyDiv w:val="1"/>
      <w:marLeft w:val="0"/>
      <w:marRight w:val="0"/>
      <w:marTop w:val="0"/>
      <w:marBottom w:val="0"/>
      <w:divBdr>
        <w:top w:val="none" w:sz="0" w:space="0" w:color="auto"/>
        <w:left w:val="none" w:sz="0" w:space="0" w:color="auto"/>
        <w:bottom w:val="none" w:sz="0" w:space="0" w:color="auto"/>
        <w:right w:val="none" w:sz="0" w:space="0" w:color="auto"/>
      </w:divBdr>
    </w:div>
    <w:div w:id="1229875923">
      <w:bodyDiv w:val="1"/>
      <w:marLeft w:val="0"/>
      <w:marRight w:val="0"/>
      <w:marTop w:val="0"/>
      <w:marBottom w:val="0"/>
      <w:divBdr>
        <w:top w:val="none" w:sz="0" w:space="0" w:color="auto"/>
        <w:left w:val="none" w:sz="0" w:space="0" w:color="auto"/>
        <w:bottom w:val="none" w:sz="0" w:space="0" w:color="auto"/>
        <w:right w:val="none" w:sz="0" w:space="0" w:color="auto"/>
      </w:divBdr>
    </w:div>
    <w:div w:id="1257978647">
      <w:bodyDiv w:val="1"/>
      <w:marLeft w:val="0"/>
      <w:marRight w:val="0"/>
      <w:marTop w:val="0"/>
      <w:marBottom w:val="0"/>
      <w:divBdr>
        <w:top w:val="none" w:sz="0" w:space="0" w:color="auto"/>
        <w:left w:val="none" w:sz="0" w:space="0" w:color="auto"/>
        <w:bottom w:val="none" w:sz="0" w:space="0" w:color="auto"/>
        <w:right w:val="none" w:sz="0" w:space="0" w:color="auto"/>
      </w:divBdr>
    </w:div>
    <w:div w:id="1278100686">
      <w:bodyDiv w:val="1"/>
      <w:marLeft w:val="0"/>
      <w:marRight w:val="0"/>
      <w:marTop w:val="0"/>
      <w:marBottom w:val="0"/>
      <w:divBdr>
        <w:top w:val="none" w:sz="0" w:space="0" w:color="auto"/>
        <w:left w:val="none" w:sz="0" w:space="0" w:color="auto"/>
        <w:bottom w:val="none" w:sz="0" w:space="0" w:color="auto"/>
        <w:right w:val="none" w:sz="0" w:space="0" w:color="auto"/>
      </w:divBdr>
    </w:div>
    <w:div w:id="1300498534">
      <w:bodyDiv w:val="1"/>
      <w:marLeft w:val="0"/>
      <w:marRight w:val="0"/>
      <w:marTop w:val="0"/>
      <w:marBottom w:val="0"/>
      <w:divBdr>
        <w:top w:val="none" w:sz="0" w:space="0" w:color="auto"/>
        <w:left w:val="none" w:sz="0" w:space="0" w:color="auto"/>
        <w:bottom w:val="none" w:sz="0" w:space="0" w:color="auto"/>
        <w:right w:val="none" w:sz="0" w:space="0" w:color="auto"/>
      </w:divBdr>
    </w:div>
    <w:div w:id="1317496200">
      <w:bodyDiv w:val="1"/>
      <w:marLeft w:val="0"/>
      <w:marRight w:val="0"/>
      <w:marTop w:val="0"/>
      <w:marBottom w:val="0"/>
      <w:divBdr>
        <w:top w:val="none" w:sz="0" w:space="0" w:color="auto"/>
        <w:left w:val="none" w:sz="0" w:space="0" w:color="auto"/>
        <w:bottom w:val="none" w:sz="0" w:space="0" w:color="auto"/>
        <w:right w:val="none" w:sz="0" w:space="0" w:color="auto"/>
      </w:divBdr>
    </w:div>
    <w:div w:id="1347246335">
      <w:bodyDiv w:val="1"/>
      <w:marLeft w:val="0"/>
      <w:marRight w:val="0"/>
      <w:marTop w:val="0"/>
      <w:marBottom w:val="0"/>
      <w:divBdr>
        <w:top w:val="none" w:sz="0" w:space="0" w:color="auto"/>
        <w:left w:val="none" w:sz="0" w:space="0" w:color="auto"/>
        <w:bottom w:val="none" w:sz="0" w:space="0" w:color="auto"/>
        <w:right w:val="none" w:sz="0" w:space="0" w:color="auto"/>
      </w:divBdr>
    </w:div>
    <w:div w:id="1386098154">
      <w:bodyDiv w:val="1"/>
      <w:marLeft w:val="0"/>
      <w:marRight w:val="0"/>
      <w:marTop w:val="0"/>
      <w:marBottom w:val="0"/>
      <w:divBdr>
        <w:top w:val="none" w:sz="0" w:space="0" w:color="auto"/>
        <w:left w:val="none" w:sz="0" w:space="0" w:color="auto"/>
        <w:bottom w:val="none" w:sz="0" w:space="0" w:color="auto"/>
        <w:right w:val="none" w:sz="0" w:space="0" w:color="auto"/>
      </w:divBdr>
    </w:div>
    <w:div w:id="1584879715">
      <w:bodyDiv w:val="1"/>
      <w:marLeft w:val="0"/>
      <w:marRight w:val="0"/>
      <w:marTop w:val="0"/>
      <w:marBottom w:val="0"/>
      <w:divBdr>
        <w:top w:val="none" w:sz="0" w:space="0" w:color="auto"/>
        <w:left w:val="none" w:sz="0" w:space="0" w:color="auto"/>
        <w:bottom w:val="none" w:sz="0" w:space="0" w:color="auto"/>
        <w:right w:val="none" w:sz="0" w:space="0" w:color="auto"/>
      </w:divBdr>
    </w:div>
    <w:div w:id="1603340128">
      <w:bodyDiv w:val="1"/>
      <w:marLeft w:val="0"/>
      <w:marRight w:val="0"/>
      <w:marTop w:val="0"/>
      <w:marBottom w:val="0"/>
      <w:divBdr>
        <w:top w:val="none" w:sz="0" w:space="0" w:color="auto"/>
        <w:left w:val="none" w:sz="0" w:space="0" w:color="auto"/>
        <w:bottom w:val="none" w:sz="0" w:space="0" w:color="auto"/>
        <w:right w:val="none" w:sz="0" w:space="0" w:color="auto"/>
      </w:divBdr>
    </w:div>
    <w:div w:id="1623225766">
      <w:bodyDiv w:val="1"/>
      <w:marLeft w:val="0"/>
      <w:marRight w:val="0"/>
      <w:marTop w:val="0"/>
      <w:marBottom w:val="0"/>
      <w:divBdr>
        <w:top w:val="none" w:sz="0" w:space="0" w:color="auto"/>
        <w:left w:val="none" w:sz="0" w:space="0" w:color="auto"/>
        <w:bottom w:val="none" w:sz="0" w:space="0" w:color="auto"/>
        <w:right w:val="none" w:sz="0" w:space="0" w:color="auto"/>
      </w:divBdr>
    </w:div>
    <w:div w:id="1649895480">
      <w:bodyDiv w:val="1"/>
      <w:marLeft w:val="0"/>
      <w:marRight w:val="0"/>
      <w:marTop w:val="0"/>
      <w:marBottom w:val="0"/>
      <w:divBdr>
        <w:top w:val="none" w:sz="0" w:space="0" w:color="auto"/>
        <w:left w:val="none" w:sz="0" w:space="0" w:color="auto"/>
        <w:bottom w:val="none" w:sz="0" w:space="0" w:color="auto"/>
        <w:right w:val="none" w:sz="0" w:space="0" w:color="auto"/>
      </w:divBdr>
    </w:div>
    <w:div w:id="1693722101">
      <w:bodyDiv w:val="1"/>
      <w:marLeft w:val="0"/>
      <w:marRight w:val="0"/>
      <w:marTop w:val="0"/>
      <w:marBottom w:val="0"/>
      <w:divBdr>
        <w:top w:val="none" w:sz="0" w:space="0" w:color="auto"/>
        <w:left w:val="none" w:sz="0" w:space="0" w:color="auto"/>
        <w:bottom w:val="none" w:sz="0" w:space="0" w:color="auto"/>
        <w:right w:val="none" w:sz="0" w:space="0" w:color="auto"/>
      </w:divBdr>
    </w:div>
    <w:div w:id="1725835610">
      <w:bodyDiv w:val="1"/>
      <w:marLeft w:val="0"/>
      <w:marRight w:val="0"/>
      <w:marTop w:val="0"/>
      <w:marBottom w:val="0"/>
      <w:divBdr>
        <w:top w:val="none" w:sz="0" w:space="0" w:color="auto"/>
        <w:left w:val="none" w:sz="0" w:space="0" w:color="auto"/>
        <w:bottom w:val="none" w:sz="0" w:space="0" w:color="auto"/>
        <w:right w:val="none" w:sz="0" w:space="0" w:color="auto"/>
      </w:divBdr>
    </w:div>
    <w:div w:id="1744063770">
      <w:bodyDiv w:val="1"/>
      <w:marLeft w:val="0"/>
      <w:marRight w:val="0"/>
      <w:marTop w:val="0"/>
      <w:marBottom w:val="0"/>
      <w:divBdr>
        <w:top w:val="none" w:sz="0" w:space="0" w:color="auto"/>
        <w:left w:val="none" w:sz="0" w:space="0" w:color="auto"/>
        <w:bottom w:val="none" w:sz="0" w:space="0" w:color="auto"/>
        <w:right w:val="none" w:sz="0" w:space="0" w:color="auto"/>
      </w:divBdr>
    </w:div>
    <w:div w:id="1763379322">
      <w:bodyDiv w:val="1"/>
      <w:marLeft w:val="0"/>
      <w:marRight w:val="0"/>
      <w:marTop w:val="0"/>
      <w:marBottom w:val="0"/>
      <w:divBdr>
        <w:top w:val="none" w:sz="0" w:space="0" w:color="auto"/>
        <w:left w:val="none" w:sz="0" w:space="0" w:color="auto"/>
        <w:bottom w:val="none" w:sz="0" w:space="0" w:color="auto"/>
        <w:right w:val="none" w:sz="0" w:space="0" w:color="auto"/>
      </w:divBdr>
    </w:div>
    <w:div w:id="1800368748">
      <w:bodyDiv w:val="1"/>
      <w:marLeft w:val="0"/>
      <w:marRight w:val="0"/>
      <w:marTop w:val="0"/>
      <w:marBottom w:val="0"/>
      <w:divBdr>
        <w:top w:val="none" w:sz="0" w:space="0" w:color="auto"/>
        <w:left w:val="none" w:sz="0" w:space="0" w:color="auto"/>
        <w:bottom w:val="none" w:sz="0" w:space="0" w:color="auto"/>
        <w:right w:val="none" w:sz="0" w:space="0" w:color="auto"/>
      </w:divBdr>
    </w:div>
    <w:div w:id="1804539020">
      <w:bodyDiv w:val="1"/>
      <w:marLeft w:val="0"/>
      <w:marRight w:val="0"/>
      <w:marTop w:val="0"/>
      <w:marBottom w:val="0"/>
      <w:divBdr>
        <w:top w:val="none" w:sz="0" w:space="0" w:color="auto"/>
        <w:left w:val="none" w:sz="0" w:space="0" w:color="auto"/>
        <w:bottom w:val="none" w:sz="0" w:space="0" w:color="auto"/>
        <w:right w:val="none" w:sz="0" w:space="0" w:color="auto"/>
      </w:divBdr>
    </w:div>
    <w:div w:id="1924100439">
      <w:bodyDiv w:val="1"/>
      <w:marLeft w:val="0"/>
      <w:marRight w:val="0"/>
      <w:marTop w:val="0"/>
      <w:marBottom w:val="0"/>
      <w:divBdr>
        <w:top w:val="none" w:sz="0" w:space="0" w:color="auto"/>
        <w:left w:val="none" w:sz="0" w:space="0" w:color="auto"/>
        <w:bottom w:val="none" w:sz="0" w:space="0" w:color="auto"/>
        <w:right w:val="none" w:sz="0" w:space="0" w:color="auto"/>
      </w:divBdr>
    </w:div>
    <w:div w:id="1948076592">
      <w:bodyDiv w:val="1"/>
      <w:marLeft w:val="0"/>
      <w:marRight w:val="0"/>
      <w:marTop w:val="0"/>
      <w:marBottom w:val="0"/>
      <w:divBdr>
        <w:top w:val="none" w:sz="0" w:space="0" w:color="auto"/>
        <w:left w:val="none" w:sz="0" w:space="0" w:color="auto"/>
        <w:bottom w:val="none" w:sz="0" w:space="0" w:color="auto"/>
        <w:right w:val="none" w:sz="0" w:space="0" w:color="auto"/>
      </w:divBdr>
    </w:div>
    <w:div w:id="2004967212">
      <w:bodyDiv w:val="1"/>
      <w:marLeft w:val="0"/>
      <w:marRight w:val="0"/>
      <w:marTop w:val="0"/>
      <w:marBottom w:val="0"/>
      <w:divBdr>
        <w:top w:val="none" w:sz="0" w:space="0" w:color="auto"/>
        <w:left w:val="none" w:sz="0" w:space="0" w:color="auto"/>
        <w:bottom w:val="none" w:sz="0" w:space="0" w:color="auto"/>
        <w:right w:val="none" w:sz="0" w:space="0" w:color="auto"/>
      </w:divBdr>
    </w:div>
    <w:div w:id="2027831578">
      <w:bodyDiv w:val="1"/>
      <w:marLeft w:val="0"/>
      <w:marRight w:val="0"/>
      <w:marTop w:val="0"/>
      <w:marBottom w:val="0"/>
      <w:divBdr>
        <w:top w:val="none" w:sz="0" w:space="0" w:color="auto"/>
        <w:left w:val="none" w:sz="0" w:space="0" w:color="auto"/>
        <w:bottom w:val="none" w:sz="0" w:space="0" w:color="auto"/>
        <w:right w:val="none" w:sz="0" w:space="0" w:color="auto"/>
      </w:divBdr>
    </w:div>
    <w:div w:id="203804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becca.hansford@afme.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fme.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jpeg"/></Relationships>
</file>

<file path=word/theme/theme1.xml><?xml version="1.0" encoding="utf-8"?>
<a:theme xmlns:a="http://schemas.openxmlformats.org/drawingml/2006/main" name="AFME">
  <a:themeElements>
    <a:clrScheme name="AFME">
      <a:dk1>
        <a:sysClr val="windowText" lastClr="000000"/>
      </a:dk1>
      <a:lt1>
        <a:sysClr val="window" lastClr="FFFFFF"/>
      </a:lt1>
      <a:dk2>
        <a:srgbClr val="58595B"/>
      </a:dk2>
      <a:lt2>
        <a:srgbClr val="CFD0D2"/>
      </a:lt2>
      <a:accent1>
        <a:srgbClr val="78A22F"/>
      </a:accent1>
      <a:accent2>
        <a:srgbClr val="C9DAAC"/>
      </a:accent2>
      <a:accent3>
        <a:srgbClr val="CFD0D2"/>
      </a:accent3>
      <a:accent4>
        <a:srgbClr val="A7A9AC"/>
      </a:accent4>
      <a:accent5>
        <a:srgbClr val="808285"/>
      </a:accent5>
      <a:accent6>
        <a:srgbClr val="58595B"/>
      </a:accent6>
      <a:hlink>
        <a:srgbClr val="0000FF"/>
      </a:hlink>
      <a:folHlink>
        <a:srgbClr val="800080"/>
      </a:folHlink>
    </a:clrScheme>
    <a:fontScheme name="AFME">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FME" id="{46E60531-B48E-4EE8-9BA3-C3F6A6429AB7}" vid="{DFAD1022-53B1-402F-87A4-C9D8E056B10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D1113-AC73-4772-B8C9-AD2CDD0E1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1641</Words>
  <Characters>9360</Characters>
  <Application>Microsoft Office Word</Application>
  <DocSecurity>0</DocSecurity>
  <Lines>78</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Capgemini UK plc</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Hansford, Rebecca</dc:creator>
  <cp:lastModifiedBy>Hansford, Rebecca</cp:lastModifiedBy>
  <cp:revision>2</cp:revision>
  <cp:lastPrinted>2019-09-20T13:43:00Z</cp:lastPrinted>
  <dcterms:created xsi:type="dcterms:W3CDTF">2019-10-11T14:03:00Z</dcterms:created>
  <dcterms:modified xsi:type="dcterms:W3CDTF">2019-10-11T14:03:00Z</dcterms:modified>
</cp:coreProperties>
</file>